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CC" w:rsidRDefault="00FD66CC" w:rsidP="00FD66CC">
      <w:pPr>
        <w:pStyle w:val="Title"/>
        <w:jc w:val="center"/>
      </w:pPr>
      <w:r>
        <w:t>EGI.eu Budget FY201</w:t>
      </w:r>
      <w:r w:rsidR="00CD10BD">
        <w:t>4</w:t>
      </w:r>
    </w:p>
    <w:p w:rsidR="00FD66CC" w:rsidRDefault="005E3BE5" w:rsidP="00FD66CC">
      <w:pPr>
        <w:jc w:val="center"/>
      </w:pPr>
      <w:r>
        <w:t>V</w:t>
      </w:r>
      <w:r w:rsidR="00CD10BD">
        <w:t>0</w:t>
      </w:r>
      <w:r w:rsidR="003F7DD3">
        <w:t>.3</w:t>
      </w:r>
      <w:r w:rsidR="00E56CD1">
        <w:t xml:space="preserve"> </w:t>
      </w:r>
      <w:r w:rsidR="003F7DD3">
        <w:t>3/10</w:t>
      </w:r>
      <w:r w:rsidR="00FA2D4C">
        <w:t>/</w:t>
      </w:r>
      <w:r>
        <w:t>201</w:t>
      </w:r>
      <w:r w:rsidR="00CD10BD">
        <w:t>3</w:t>
      </w:r>
    </w:p>
    <w:p w:rsidR="00970AC3" w:rsidRDefault="00A43027" w:rsidP="00A4687A">
      <w:pPr>
        <w:pStyle w:val="Heading1"/>
      </w:pPr>
      <w:r>
        <w:t>For EGI Council Decision</w:t>
      </w:r>
    </w:p>
    <w:p w:rsidR="00A43027" w:rsidRDefault="00A43027" w:rsidP="00A43027">
      <w:r>
        <w:t>The f</w:t>
      </w:r>
      <w:r w:rsidR="00CD10BD">
        <w:t>inancial plan for EGI.eu in 2014</w:t>
      </w:r>
      <w:r w:rsidR="00827432">
        <w:t xml:space="preserve"> has the following key points:</w:t>
      </w:r>
      <w:r>
        <w:t xml:space="preserve"> </w:t>
      </w:r>
    </w:p>
    <w:p w:rsidR="007E5BAF" w:rsidRDefault="007E5BAF" w:rsidP="00975EB4">
      <w:pPr>
        <w:pStyle w:val="ListParagraph"/>
        <w:numPr>
          <w:ilvl w:val="0"/>
          <w:numId w:val="8"/>
        </w:numPr>
      </w:pPr>
      <w:r>
        <w:t>Fees for the participants and associated participants as detailed in Appendix</w:t>
      </w:r>
      <w:r w:rsidR="00263902">
        <w:t xml:space="preserve"> </w:t>
      </w:r>
      <w:proofErr w:type="gramStart"/>
      <w:r w:rsidR="00263902">
        <w:t xml:space="preserve">A </w:t>
      </w:r>
      <w:r>
        <w:t>.</w:t>
      </w:r>
      <w:proofErr w:type="gramEnd"/>
    </w:p>
    <w:p w:rsidR="00FA2D4C" w:rsidRDefault="00FA2D4C" w:rsidP="00975EB4">
      <w:pPr>
        <w:pStyle w:val="ListParagraph"/>
        <w:numPr>
          <w:ilvl w:val="0"/>
          <w:numId w:val="8"/>
        </w:numPr>
      </w:pPr>
      <w:r>
        <w:t xml:space="preserve">Invoices </w:t>
      </w:r>
      <w:r w:rsidR="00C627F7">
        <w:t xml:space="preserve">for the full amount </w:t>
      </w:r>
      <w:r>
        <w:t>will be sent out in December 201</w:t>
      </w:r>
      <w:r w:rsidR="00CD10BD">
        <w:t>3</w:t>
      </w:r>
      <w:r>
        <w:t>.</w:t>
      </w:r>
    </w:p>
    <w:p w:rsidR="00FA2D4C" w:rsidRDefault="00FA2D4C" w:rsidP="00975EB4">
      <w:pPr>
        <w:pStyle w:val="ListParagraph"/>
        <w:numPr>
          <w:ilvl w:val="0"/>
          <w:numId w:val="8"/>
        </w:numPr>
      </w:pPr>
      <w:r>
        <w:t>Participants wishing to be paid in two segme</w:t>
      </w:r>
      <w:r w:rsidR="00CD10BD">
        <w:t>nts must notify the EGI.eu by 30/9/13</w:t>
      </w:r>
      <w:r>
        <w:t>.</w:t>
      </w:r>
    </w:p>
    <w:p w:rsidR="002E6F16" w:rsidRDefault="00FA2D4C" w:rsidP="002E6F16">
      <w:r>
        <w:t xml:space="preserve">The target income </w:t>
      </w:r>
      <w:r w:rsidR="007014A2">
        <w:t xml:space="preserve">for 2014 </w:t>
      </w:r>
      <w:r>
        <w:t>from the EGI</w:t>
      </w:r>
      <w:r w:rsidR="008C3170">
        <w:t>.eu</w:t>
      </w:r>
      <w:r>
        <w:t xml:space="preserve"> participants </w:t>
      </w:r>
      <w:r w:rsidR="003F7DD3">
        <w:t xml:space="preserve">is </w:t>
      </w:r>
      <w:r>
        <w:t>€1,</w:t>
      </w:r>
      <w:r w:rsidR="003F7DD3">
        <w:t>25</w:t>
      </w:r>
      <w:r w:rsidR="002E3CC3">
        <w:t>0</w:t>
      </w:r>
      <w:r>
        <w:t xml:space="preserve">,000 </w:t>
      </w:r>
      <w:r w:rsidR="003F7DD3">
        <w:t xml:space="preserve">(reduced from €1,500,000 </w:t>
      </w:r>
      <w:r w:rsidR="00263902">
        <w:t xml:space="preserve">in </w:t>
      </w:r>
      <w:r w:rsidR="003F7DD3">
        <w:t xml:space="preserve">2014) </w:t>
      </w:r>
      <w:r w:rsidR="002E3CC3">
        <w:t xml:space="preserve">is maintained </w:t>
      </w:r>
      <w:r w:rsidR="002E6F16">
        <w:t>in line with the agreement reached in 2011 to set fees for 2012 and beyond until the end of the EGI-</w:t>
      </w:r>
      <w:proofErr w:type="spellStart"/>
      <w:r w:rsidR="002E6F16">
        <w:t>InSPIRE</w:t>
      </w:r>
      <w:proofErr w:type="spellEnd"/>
      <w:r w:rsidR="002E6F16">
        <w:t xml:space="preserve"> project which will (with the planned extension) run until the end of 2014.</w:t>
      </w:r>
    </w:p>
    <w:p w:rsidR="00263902" w:rsidRDefault="00263902" w:rsidP="002E6F16">
      <w:r>
        <w:t>Changes made to the papers since the discussion in Madrid include:</w:t>
      </w:r>
    </w:p>
    <w:p w:rsidR="00263902" w:rsidRDefault="00263902" w:rsidP="00263902">
      <w:pPr>
        <w:pStyle w:val="ListParagraph"/>
        <w:numPr>
          <w:ilvl w:val="0"/>
          <w:numId w:val="13"/>
        </w:numPr>
      </w:pPr>
      <w:r>
        <w:t xml:space="preserve">The withdrawal of Germany from EGI.eu announced in September 2013 has reduced the </w:t>
      </w:r>
      <w:proofErr w:type="gramStart"/>
      <w:r>
        <w:t>maximum</w:t>
      </w:r>
      <w:proofErr w:type="gramEnd"/>
      <w:r>
        <w:t xml:space="preserve"> expected income that could be collected from </w:t>
      </w:r>
      <w:proofErr w:type="spellStart"/>
      <w:r>
        <w:t>EGI.eu’s</w:t>
      </w:r>
      <w:proofErr w:type="spellEnd"/>
      <w:r>
        <w:t xml:space="preserve"> participants.</w:t>
      </w:r>
    </w:p>
    <w:p w:rsidR="00263902" w:rsidRDefault="00263902" w:rsidP="00263902">
      <w:pPr>
        <w:pStyle w:val="ListParagraph"/>
        <w:numPr>
          <w:ilvl w:val="0"/>
          <w:numId w:val="13"/>
        </w:numPr>
      </w:pPr>
      <w:r>
        <w:t xml:space="preserve">A reduction for budgeting purposes of the expected income from </w:t>
      </w:r>
      <w:proofErr w:type="spellStart"/>
      <w:r>
        <w:t>EGI.eu’s</w:t>
      </w:r>
      <w:proofErr w:type="spellEnd"/>
      <w:r>
        <w:t xml:space="preserve"> participants in 2014 from €1,500,000 to €1,250,000.</w:t>
      </w:r>
    </w:p>
    <w:p w:rsidR="00263902" w:rsidRDefault="00263902" w:rsidP="00263902">
      <w:pPr>
        <w:pStyle w:val="ListParagraph"/>
        <w:numPr>
          <w:ilvl w:val="0"/>
          <w:numId w:val="13"/>
        </w:numPr>
      </w:pPr>
      <w:r>
        <w:t>A reduction in the contribution paid by EGI.eu to the service providers delivering the Core EGI Activities from 50% to 25% leading to a reduction from €800,000 to €400,000.</w:t>
      </w:r>
    </w:p>
    <w:p w:rsidR="00263902" w:rsidRDefault="00283BC8" w:rsidP="00263902">
      <w:pPr>
        <w:pStyle w:val="ListParagraph"/>
        <w:numPr>
          <w:ilvl w:val="0"/>
          <w:numId w:val="13"/>
        </w:numPr>
      </w:pPr>
      <w:r>
        <w:t>I</w:t>
      </w:r>
      <w:r w:rsidR="00263902">
        <w:t xml:space="preserve">ncome </w:t>
      </w:r>
      <w:r w:rsidR="0058246A">
        <w:t xml:space="preserve">from the participation fees in excess of the budgeted amount (€1,250,000) </w:t>
      </w:r>
      <w:r>
        <w:t xml:space="preserve">will be redistributed </w:t>
      </w:r>
      <w:r w:rsidR="0058246A">
        <w:t>to the Core EGI Activities service partners</w:t>
      </w:r>
      <w:r>
        <w:t xml:space="preserve"> through a correspondingly higher co-funding rate (i.e. greater than 25%)</w:t>
      </w:r>
      <w:r w:rsidR="0058246A">
        <w:t>.</w:t>
      </w:r>
    </w:p>
    <w:p w:rsidR="0058246A" w:rsidRDefault="0058246A">
      <w:r>
        <w:br w:type="page"/>
      </w:r>
    </w:p>
    <w:p w:rsidR="00FD66CC" w:rsidRDefault="00FD66CC" w:rsidP="00FD66CC">
      <w:pPr>
        <w:pStyle w:val="Heading1"/>
      </w:pPr>
      <w:r>
        <w:lastRenderedPageBreak/>
        <w:t>EC Projects Income</w:t>
      </w:r>
    </w:p>
    <w:p w:rsidR="00252321" w:rsidRDefault="00B07DC7" w:rsidP="00B0203B">
      <w:r>
        <w:t>For 20</w:t>
      </w:r>
      <w:r w:rsidR="00252321">
        <w:t>14 the income from EC projects is drawn from: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124"/>
        <w:gridCol w:w="1444"/>
      </w:tblGrid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Default="00252321" w:rsidP="00C242CB">
            <w:pPr>
              <w:spacing w:after="0"/>
            </w:pPr>
            <w:r>
              <w:t>Project</w:t>
            </w:r>
          </w:p>
        </w:tc>
        <w:tc>
          <w:tcPr>
            <w:tcW w:w="0" w:type="auto"/>
            <w:shd w:val="clear" w:color="auto" w:fill="auto"/>
          </w:tcPr>
          <w:p w:rsidR="00252321" w:rsidRDefault="00252321" w:rsidP="00C242CB">
            <w:pPr>
              <w:spacing w:after="0"/>
            </w:pPr>
            <w:r>
              <w:t>Estimated Income (€)</w:t>
            </w:r>
          </w:p>
        </w:tc>
        <w:tc>
          <w:tcPr>
            <w:tcW w:w="1444" w:type="dxa"/>
          </w:tcPr>
          <w:p w:rsidR="00252321" w:rsidRDefault="00252321" w:rsidP="00C242CB">
            <w:pPr>
              <w:spacing w:after="0"/>
            </w:pPr>
            <w:r>
              <w:t>PM</w:t>
            </w:r>
            <w:r w:rsidR="00B0203B">
              <w:t>s</w:t>
            </w:r>
            <w:r>
              <w:t xml:space="preserve"> in 2014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Default="00252321" w:rsidP="00C242CB">
            <w:pPr>
              <w:spacing w:after="0"/>
            </w:pPr>
            <w:r>
              <w:t>EGI-</w:t>
            </w:r>
            <w:proofErr w:type="spellStart"/>
            <w:r>
              <w:t>InSPIRE</w:t>
            </w:r>
            <w:proofErr w:type="spellEnd"/>
            <w:r>
              <w:t xml:space="preserve"> (1)</w:t>
            </w:r>
            <w:r w:rsidDel="00E96840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52321" w:rsidRPr="007B6DF0" w:rsidRDefault="00252321" w:rsidP="00C242CB">
            <w:pPr>
              <w:jc w:val="right"/>
            </w:pPr>
            <w:r w:rsidRPr="007B6DF0">
              <w:t xml:space="preserve"> 786,760</w:t>
            </w:r>
          </w:p>
        </w:tc>
        <w:tc>
          <w:tcPr>
            <w:tcW w:w="1444" w:type="dxa"/>
          </w:tcPr>
          <w:p w:rsidR="00252321" w:rsidRDefault="00FA5C7E" w:rsidP="00C242CB">
            <w:pPr>
              <w:jc w:val="right"/>
            </w:pPr>
            <w:r>
              <w:t>132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156771" w:rsidRDefault="00252321" w:rsidP="00C242CB">
            <w:pPr>
              <w:spacing w:after="0"/>
            </w:pPr>
            <w:proofErr w:type="spellStart"/>
            <w:r>
              <w:t>BioVeL</w:t>
            </w:r>
            <w:proofErr w:type="spellEnd"/>
            <w:r>
              <w:t xml:space="preserve"> (2)</w:t>
            </w:r>
          </w:p>
        </w:tc>
        <w:tc>
          <w:tcPr>
            <w:tcW w:w="0" w:type="auto"/>
            <w:shd w:val="clear" w:color="auto" w:fill="auto"/>
          </w:tcPr>
          <w:p w:rsidR="00252321" w:rsidRDefault="00252321" w:rsidP="00B0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26,874</w:t>
            </w:r>
          </w:p>
          <w:p w:rsidR="00252321" w:rsidRPr="00492384" w:rsidRDefault="00252321" w:rsidP="00C242CB">
            <w:pPr>
              <w:jc w:val="right"/>
            </w:pPr>
          </w:p>
        </w:tc>
        <w:tc>
          <w:tcPr>
            <w:tcW w:w="1444" w:type="dxa"/>
          </w:tcPr>
          <w:p w:rsidR="00252321" w:rsidRPr="00492384" w:rsidRDefault="00FA5C7E" w:rsidP="00FA5C7E">
            <w:pPr>
              <w:jc w:val="right"/>
            </w:pPr>
            <w:r>
              <w:t>2.5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156771" w:rsidRDefault="00252321" w:rsidP="00C242CB">
            <w:pPr>
              <w:spacing w:after="0"/>
            </w:pPr>
            <w:proofErr w:type="spellStart"/>
            <w:r w:rsidRPr="00156771">
              <w:t>BioMedBridges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52321" w:rsidRPr="00492384" w:rsidRDefault="00252321" w:rsidP="00B07DC7">
            <w:pPr>
              <w:jc w:val="right"/>
            </w:pPr>
            <w:r w:rsidRPr="00492384">
              <w:t xml:space="preserve"> 1,260</w:t>
            </w:r>
          </w:p>
        </w:tc>
        <w:tc>
          <w:tcPr>
            <w:tcW w:w="1444" w:type="dxa"/>
          </w:tcPr>
          <w:p w:rsidR="00252321" w:rsidRDefault="00FA5C7E" w:rsidP="00C242CB">
            <w:pPr>
              <w:jc w:val="right"/>
            </w:pPr>
            <w:r>
              <w:t>0.2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156771" w:rsidRDefault="00252321" w:rsidP="00252321">
            <w:pPr>
              <w:spacing w:after="0"/>
            </w:pPr>
            <w:r w:rsidRPr="00156771">
              <w:t xml:space="preserve">ENVRI </w:t>
            </w:r>
            <w:r>
              <w:t>(3)</w:t>
            </w:r>
          </w:p>
        </w:tc>
        <w:tc>
          <w:tcPr>
            <w:tcW w:w="0" w:type="auto"/>
            <w:shd w:val="clear" w:color="auto" w:fill="auto"/>
          </w:tcPr>
          <w:p w:rsidR="00252321" w:rsidRPr="00BF05F0" w:rsidRDefault="00252321" w:rsidP="00B07DC7">
            <w:pPr>
              <w:jc w:val="right"/>
            </w:pPr>
            <w:r w:rsidRPr="00BF05F0">
              <w:t xml:space="preserve"> 31,373</w:t>
            </w:r>
          </w:p>
        </w:tc>
        <w:tc>
          <w:tcPr>
            <w:tcW w:w="1444" w:type="dxa"/>
          </w:tcPr>
          <w:p w:rsidR="00252321" w:rsidRPr="00BF05F0" w:rsidRDefault="00FA5C7E" w:rsidP="00FA5C7E">
            <w:pPr>
              <w:jc w:val="right"/>
            </w:pPr>
            <w:r>
              <w:t>5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F06FC9" w:rsidRDefault="00252321" w:rsidP="00C242CB">
            <w:pPr>
              <w:spacing w:after="0"/>
            </w:pPr>
            <w:r w:rsidRPr="0006399E">
              <w:t>ER-Flow</w:t>
            </w:r>
          </w:p>
        </w:tc>
        <w:tc>
          <w:tcPr>
            <w:tcW w:w="0" w:type="auto"/>
            <w:shd w:val="clear" w:color="auto" w:fill="auto"/>
          </w:tcPr>
          <w:p w:rsidR="00252321" w:rsidRPr="00BF05F0" w:rsidRDefault="00252321" w:rsidP="00B07DC7">
            <w:pPr>
              <w:jc w:val="right"/>
            </w:pPr>
            <w:r w:rsidRPr="00BF05F0">
              <w:t xml:space="preserve"> 37,994</w:t>
            </w:r>
          </w:p>
        </w:tc>
        <w:tc>
          <w:tcPr>
            <w:tcW w:w="1444" w:type="dxa"/>
            <w:shd w:val="clear" w:color="auto" w:fill="auto"/>
          </w:tcPr>
          <w:p w:rsidR="00252321" w:rsidRDefault="00FA5C7E" w:rsidP="00C242CB">
            <w:pPr>
              <w:jc w:val="right"/>
            </w:pPr>
            <w:r>
              <w:t>4</w:t>
            </w:r>
          </w:p>
          <w:p w:rsidR="00252321" w:rsidRPr="00BF05F0" w:rsidRDefault="00252321" w:rsidP="00FA5C7E">
            <w:pPr>
              <w:jc w:val="center"/>
            </w:pP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F06FC9" w:rsidRDefault="00252321" w:rsidP="00C242CB">
            <w:pPr>
              <w:spacing w:after="0"/>
            </w:pPr>
            <w:r w:rsidRPr="0006399E">
              <w:t>DCH-RP</w:t>
            </w:r>
          </w:p>
        </w:tc>
        <w:tc>
          <w:tcPr>
            <w:tcW w:w="0" w:type="auto"/>
            <w:shd w:val="clear" w:color="auto" w:fill="auto"/>
          </w:tcPr>
          <w:p w:rsidR="00252321" w:rsidRPr="00BF05F0" w:rsidRDefault="00252321" w:rsidP="00B07DC7">
            <w:pPr>
              <w:jc w:val="right"/>
            </w:pPr>
            <w:r w:rsidRPr="00BF05F0">
              <w:t xml:space="preserve"> 31,222</w:t>
            </w:r>
          </w:p>
        </w:tc>
        <w:tc>
          <w:tcPr>
            <w:tcW w:w="1444" w:type="dxa"/>
            <w:shd w:val="clear" w:color="auto" w:fill="auto"/>
          </w:tcPr>
          <w:p w:rsidR="00252321" w:rsidRPr="00BF05F0" w:rsidRDefault="00FA5C7E" w:rsidP="00FA5C7E">
            <w:pPr>
              <w:jc w:val="right"/>
            </w:pPr>
            <w:r>
              <w:t>3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F06FC9" w:rsidRDefault="00252321" w:rsidP="00C242CB">
            <w:pPr>
              <w:spacing w:after="0"/>
            </w:pPr>
            <w:proofErr w:type="spellStart"/>
            <w:r w:rsidRPr="0006399E">
              <w:t>FedSM</w:t>
            </w:r>
            <w:proofErr w:type="spellEnd"/>
            <w:r>
              <w:t xml:space="preserve"> (4)</w:t>
            </w:r>
          </w:p>
        </w:tc>
        <w:tc>
          <w:tcPr>
            <w:tcW w:w="0" w:type="auto"/>
            <w:shd w:val="clear" w:color="auto" w:fill="auto"/>
          </w:tcPr>
          <w:p w:rsidR="00252321" w:rsidRPr="00BF05F0" w:rsidRDefault="00252321" w:rsidP="00B07DC7">
            <w:pPr>
              <w:jc w:val="right"/>
            </w:pPr>
            <w:r w:rsidRPr="00BF05F0">
              <w:t xml:space="preserve"> 44,491</w:t>
            </w:r>
          </w:p>
        </w:tc>
        <w:tc>
          <w:tcPr>
            <w:tcW w:w="1444" w:type="dxa"/>
            <w:shd w:val="clear" w:color="auto" w:fill="auto"/>
          </w:tcPr>
          <w:p w:rsidR="00252321" w:rsidRPr="00BF05F0" w:rsidRDefault="00FA5C7E" w:rsidP="00C242CB">
            <w:pPr>
              <w:jc w:val="right"/>
            </w:pPr>
            <w:r>
              <w:t>5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F06FC9" w:rsidRDefault="00252321" w:rsidP="00C242CB">
            <w:pPr>
              <w:spacing w:after="0"/>
            </w:pPr>
            <w:proofErr w:type="spellStart"/>
            <w:r w:rsidRPr="00F06FC9">
              <w:t>HelixNebula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52321" w:rsidRPr="00BF05F0" w:rsidRDefault="00252321" w:rsidP="00B07DC7">
            <w:pPr>
              <w:jc w:val="right"/>
            </w:pPr>
            <w:r w:rsidRPr="00BF05F0">
              <w:t xml:space="preserve"> 40,925</w:t>
            </w:r>
          </w:p>
        </w:tc>
        <w:tc>
          <w:tcPr>
            <w:tcW w:w="1444" w:type="dxa"/>
            <w:shd w:val="clear" w:color="auto" w:fill="auto"/>
          </w:tcPr>
          <w:p w:rsidR="00252321" w:rsidRPr="00BF05F0" w:rsidRDefault="00FA5C7E" w:rsidP="00FA5C7E">
            <w:pPr>
              <w:jc w:val="right"/>
            </w:pPr>
            <w:r>
              <w:t>4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B0203B" w:rsidRDefault="00252321" w:rsidP="00B0203B">
            <w:pPr>
              <w:spacing w:after="0"/>
            </w:pPr>
            <w:proofErr w:type="spellStart"/>
            <w:r w:rsidRPr="00B0203B">
              <w:t>Cloud</w:t>
            </w:r>
            <w:r w:rsidR="00B0203B">
              <w:t>W</w:t>
            </w:r>
            <w:r w:rsidRPr="00B0203B">
              <w:t>atch</w:t>
            </w:r>
            <w:proofErr w:type="spellEnd"/>
            <w:r w:rsidR="00B07DC7">
              <w:t xml:space="preserve"> (5)</w:t>
            </w:r>
          </w:p>
        </w:tc>
        <w:tc>
          <w:tcPr>
            <w:tcW w:w="0" w:type="auto"/>
            <w:shd w:val="clear" w:color="auto" w:fill="auto"/>
          </w:tcPr>
          <w:p w:rsidR="00252321" w:rsidRPr="00BF05F0" w:rsidRDefault="00D51530" w:rsidP="00B07DC7">
            <w:pPr>
              <w:jc w:val="right"/>
            </w:pPr>
            <w:r>
              <w:t>58,850</w:t>
            </w:r>
          </w:p>
        </w:tc>
        <w:tc>
          <w:tcPr>
            <w:tcW w:w="1444" w:type="dxa"/>
          </w:tcPr>
          <w:p w:rsidR="00252321" w:rsidRDefault="00D51530" w:rsidP="00C242CB">
            <w:pPr>
              <w:jc w:val="right"/>
            </w:pPr>
            <w:r>
              <w:t>7</w:t>
            </w:r>
          </w:p>
        </w:tc>
      </w:tr>
      <w:tr w:rsidR="00252321" w:rsidTr="00C242CB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252321" w:rsidRPr="00F97536" w:rsidRDefault="00252321" w:rsidP="00C242CB">
            <w:pPr>
              <w:spacing w:after="0"/>
              <w:jc w:val="right"/>
              <w:rPr>
                <w:b/>
              </w:rPr>
            </w:pPr>
            <w:r w:rsidRPr="00F97536">
              <w:rPr>
                <w:b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252321" w:rsidRDefault="00D51530" w:rsidP="00252321">
            <w:pPr>
              <w:jc w:val="right"/>
              <w:rPr>
                <w:color w:val="000000"/>
              </w:rPr>
            </w:pPr>
            <w:r w:rsidRPr="00D51530">
              <w:rPr>
                <w:color w:val="000000"/>
              </w:rPr>
              <w:t>1,059,749</w:t>
            </w:r>
          </w:p>
          <w:p w:rsidR="00252321" w:rsidRPr="00BF05F0" w:rsidRDefault="00252321" w:rsidP="00C242CB">
            <w:pPr>
              <w:jc w:val="right"/>
            </w:pPr>
          </w:p>
        </w:tc>
        <w:tc>
          <w:tcPr>
            <w:tcW w:w="1444" w:type="dxa"/>
          </w:tcPr>
          <w:p w:rsidR="00252321" w:rsidRDefault="00FA5C7E" w:rsidP="00252321">
            <w:pPr>
              <w:jc w:val="right"/>
            </w:pPr>
            <w:r>
              <w:t>161</w:t>
            </w:r>
          </w:p>
        </w:tc>
      </w:tr>
    </w:tbl>
    <w:p w:rsidR="004A333C" w:rsidRDefault="004A333C" w:rsidP="00E96840">
      <w:r>
        <w:t>Notes:</w:t>
      </w:r>
    </w:p>
    <w:p w:rsidR="00E96840" w:rsidRDefault="00E96840" w:rsidP="0006399E">
      <w:pPr>
        <w:pStyle w:val="ListParagraph"/>
        <w:numPr>
          <w:ilvl w:val="0"/>
          <w:numId w:val="7"/>
        </w:numPr>
      </w:pPr>
      <w:r>
        <w:t>Effort in EGI-</w:t>
      </w:r>
      <w:proofErr w:type="spellStart"/>
      <w:r>
        <w:t>InSPIRE</w:t>
      </w:r>
      <w:proofErr w:type="spellEnd"/>
      <w:r>
        <w:t xml:space="preserve"> in PY4 is refunded at only </w:t>
      </w:r>
      <w:r w:rsidR="00252321">
        <w:t>3</w:t>
      </w:r>
      <w:r>
        <w:t>5% for non-management tasks.</w:t>
      </w:r>
      <w:r w:rsidR="00252321">
        <w:t xml:space="preserve"> Budget</w:t>
      </w:r>
      <w:r w:rsidR="00FA5C7E">
        <w:t>ed e</w:t>
      </w:r>
      <w:r w:rsidR="00FC20F9">
        <w:t>ffort</w:t>
      </w:r>
      <w:r w:rsidR="00252321">
        <w:t xml:space="preserve"> left </w:t>
      </w:r>
      <w:r w:rsidR="00B0203B">
        <w:t xml:space="preserve">until the end of </w:t>
      </w:r>
      <w:r w:rsidR="00252321">
        <w:t>PY</w:t>
      </w:r>
      <w:r w:rsidR="00B0203B">
        <w:t>4 (</w:t>
      </w:r>
      <w:r w:rsidR="00935A23">
        <w:t>Apr</w:t>
      </w:r>
      <w:r w:rsidR="00FA5C7E">
        <w:t>il</w:t>
      </w:r>
      <w:r w:rsidR="00252321">
        <w:t xml:space="preserve"> 2014</w:t>
      </w:r>
      <w:r w:rsidR="00B0203B">
        <w:t>) is</w:t>
      </w:r>
      <w:r w:rsidR="00252321">
        <w:t xml:space="preserve"> spread out until October 2014</w:t>
      </w:r>
      <w:r w:rsidR="00B0203B">
        <w:t xml:space="preserve"> to provide the 6 month extension of effort at EGI.eu.</w:t>
      </w:r>
    </w:p>
    <w:p w:rsidR="00252321" w:rsidRDefault="00FA5C7E" w:rsidP="00252321">
      <w:pPr>
        <w:pStyle w:val="ListParagraph"/>
        <w:numPr>
          <w:ilvl w:val="0"/>
          <w:numId w:val="7"/>
        </w:numPr>
      </w:pPr>
      <w:r>
        <w:t xml:space="preserve">The </w:t>
      </w:r>
      <w:proofErr w:type="spellStart"/>
      <w:r w:rsidR="00B07DC7">
        <w:t>BioVeL</w:t>
      </w:r>
      <w:proofErr w:type="spellEnd"/>
      <w:r w:rsidR="00252321">
        <w:t xml:space="preserve"> budget </w:t>
      </w:r>
      <w:r w:rsidR="00B0203B">
        <w:t xml:space="preserve">at EGI.eu is reduced by </w:t>
      </w:r>
      <w:r w:rsidR="00252321" w:rsidRPr="00252321">
        <w:t xml:space="preserve">20% </w:t>
      </w:r>
      <w:r w:rsidR="00B07DC7">
        <w:t xml:space="preserve">in the next project year </w:t>
      </w:r>
      <w:r w:rsidR="00252321" w:rsidRPr="00252321">
        <w:t xml:space="preserve">due to </w:t>
      </w:r>
      <w:r w:rsidR="00B0203B">
        <w:t>accumulated unused effort.</w:t>
      </w:r>
    </w:p>
    <w:p w:rsidR="004A333C" w:rsidRDefault="004A333C" w:rsidP="0006399E">
      <w:pPr>
        <w:pStyle w:val="ListParagraph"/>
        <w:numPr>
          <w:ilvl w:val="0"/>
          <w:numId w:val="7"/>
        </w:numPr>
      </w:pPr>
      <w:r>
        <w:t>Effort in ENVRI is an RTD activity that is refunded at only 50%</w:t>
      </w:r>
      <w:r w:rsidR="00E96840">
        <w:t>.</w:t>
      </w:r>
    </w:p>
    <w:p w:rsidR="004A333C" w:rsidRDefault="004A333C" w:rsidP="0006399E">
      <w:pPr>
        <w:pStyle w:val="ListParagraph"/>
        <w:numPr>
          <w:ilvl w:val="0"/>
          <w:numId w:val="7"/>
        </w:numPr>
      </w:pPr>
      <w:r>
        <w:t xml:space="preserve">Includes €7K of other costs. </w:t>
      </w:r>
    </w:p>
    <w:p w:rsidR="00B07DC7" w:rsidRPr="0006399E" w:rsidRDefault="00B07DC7" w:rsidP="0006399E">
      <w:pPr>
        <w:pStyle w:val="ListParagraph"/>
        <w:numPr>
          <w:ilvl w:val="0"/>
          <w:numId w:val="7"/>
        </w:numPr>
      </w:pPr>
      <w:r>
        <w:t>New project starting September 2013.</w:t>
      </w:r>
    </w:p>
    <w:p w:rsidR="00FD66CC" w:rsidRDefault="00FD66CC" w:rsidP="00FD66CC">
      <w:pPr>
        <w:pStyle w:val="Heading1"/>
      </w:pPr>
      <w:r>
        <w:rPr>
          <w:lang w:val="en-US"/>
        </w:rPr>
        <w:t xml:space="preserve">EGI.eu </w:t>
      </w:r>
      <w:r>
        <w:t>financial contributions</w:t>
      </w:r>
    </w:p>
    <w:p w:rsidR="00CD10BD" w:rsidRDefault="002E6F16" w:rsidP="00FD66CC">
      <w:r>
        <w:t>T</w:t>
      </w:r>
      <w:r w:rsidR="00CD10BD">
        <w:t xml:space="preserve">he fees for FY2014 are held at FY2013 and FY2012 levels - </w:t>
      </w:r>
      <w:r w:rsidR="00D05262">
        <w:t>See Appendix A</w:t>
      </w:r>
      <w:r w:rsidR="00CD10BD">
        <w:t>.</w:t>
      </w:r>
    </w:p>
    <w:p w:rsidR="00710C26" w:rsidRDefault="00710C26" w:rsidP="00FD66CC">
      <w:r>
        <w:t>The schedule for payments will be as follows:</w:t>
      </w:r>
    </w:p>
    <w:p w:rsidR="00710C26" w:rsidRDefault="00CD10BD" w:rsidP="00710C26">
      <w:pPr>
        <w:pStyle w:val="ListParagraph"/>
        <w:numPr>
          <w:ilvl w:val="0"/>
          <w:numId w:val="4"/>
        </w:numPr>
      </w:pPr>
      <w:r>
        <w:t>In</w:t>
      </w:r>
      <w:r w:rsidR="00710C26">
        <w:t>voices will be sent by 1</w:t>
      </w:r>
      <w:r w:rsidR="00710C26" w:rsidRPr="00710C26">
        <w:rPr>
          <w:vertAlign w:val="superscript"/>
        </w:rPr>
        <w:t>st</w:t>
      </w:r>
      <w:r w:rsidR="00710C26">
        <w:t xml:space="preserve"> </w:t>
      </w:r>
      <w:r w:rsidR="0046393A">
        <w:t xml:space="preserve">December </w:t>
      </w:r>
      <w:r w:rsidR="00710C26">
        <w:t>201</w:t>
      </w:r>
      <w:r>
        <w:t>3</w:t>
      </w:r>
    </w:p>
    <w:p w:rsidR="00710C26" w:rsidRDefault="00710C26" w:rsidP="00710C26">
      <w:pPr>
        <w:pStyle w:val="ListParagraph"/>
        <w:numPr>
          <w:ilvl w:val="0"/>
          <w:numId w:val="4"/>
        </w:numPr>
      </w:pPr>
      <w:r>
        <w:t>Invoices will be due 1</w:t>
      </w:r>
      <w:r w:rsidRPr="00710C26">
        <w:rPr>
          <w:vertAlign w:val="superscript"/>
        </w:rPr>
        <w:t>st</w:t>
      </w:r>
      <w:r>
        <w:t xml:space="preserve"> January 201</w:t>
      </w:r>
      <w:r w:rsidR="00CD10BD">
        <w:t>4</w:t>
      </w:r>
    </w:p>
    <w:p w:rsidR="00710C26" w:rsidRDefault="00710C26" w:rsidP="00710C26">
      <w:pPr>
        <w:pStyle w:val="ListParagraph"/>
        <w:numPr>
          <w:ilvl w:val="0"/>
          <w:numId w:val="4"/>
        </w:numPr>
      </w:pPr>
      <w:r>
        <w:t>Invoices will have a payment period of 60 days.</w:t>
      </w:r>
    </w:p>
    <w:p w:rsidR="0046393A" w:rsidRDefault="0046393A" w:rsidP="00710C26">
      <w:r>
        <w:t>The following countries have requested previously to pay in two instalments:</w:t>
      </w:r>
    </w:p>
    <w:p w:rsidR="0046393A" w:rsidRDefault="00D014F6" w:rsidP="00E32831">
      <w:pPr>
        <w:pStyle w:val="ListParagraph"/>
        <w:numPr>
          <w:ilvl w:val="0"/>
          <w:numId w:val="4"/>
        </w:numPr>
      </w:pPr>
      <w:r>
        <w:t>Poland</w:t>
      </w:r>
    </w:p>
    <w:p w:rsidR="0046393A" w:rsidRDefault="0046393A" w:rsidP="0046393A">
      <w:r>
        <w:t>Other countries wishing to pay by two instalments or if these countries no longer wish to pay by instalment they should confirm in writing to EGI.eu (</w:t>
      </w:r>
      <w:r w:rsidR="00CD10BD">
        <w:t xml:space="preserve">director@egi.eu) by </w:t>
      </w:r>
      <w:r>
        <w:t>1</w:t>
      </w:r>
      <w:r w:rsidRPr="00E32831">
        <w:rPr>
          <w:vertAlign w:val="superscript"/>
        </w:rPr>
        <w:t>st</w:t>
      </w:r>
      <w:r>
        <w:t xml:space="preserve"> </w:t>
      </w:r>
      <w:r w:rsidR="00CD10BD">
        <w:t>October 2013</w:t>
      </w:r>
      <w:r>
        <w:t>.</w:t>
      </w:r>
    </w:p>
    <w:p w:rsidR="00710C26" w:rsidRDefault="00710C26" w:rsidP="00710C26">
      <w:r>
        <w:t>The payment schedule of the second instalment</w:t>
      </w:r>
      <w:r w:rsidR="001232C4">
        <w:t xml:space="preserve"> if requested by a </w:t>
      </w:r>
      <w:r w:rsidR="00144C96">
        <w:t>participant</w:t>
      </w:r>
      <w:r>
        <w:t xml:space="preserve"> will be as follows:</w:t>
      </w:r>
    </w:p>
    <w:p w:rsidR="00710C26" w:rsidRDefault="00710C26" w:rsidP="00710C26">
      <w:pPr>
        <w:pStyle w:val="ListParagraph"/>
        <w:numPr>
          <w:ilvl w:val="0"/>
          <w:numId w:val="4"/>
        </w:numPr>
      </w:pPr>
      <w:r>
        <w:t>Invoices will be sent by 1</w:t>
      </w:r>
      <w:r w:rsidRPr="00710C26">
        <w:rPr>
          <w:vertAlign w:val="superscript"/>
        </w:rPr>
        <w:t>st</w:t>
      </w:r>
      <w:r>
        <w:t xml:space="preserve"> June 201</w:t>
      </w:r>
      <w:r w:rsidR="00CD10BD">
        <w:t>4</w:t>
      </w:r>
    </w:p>
    <w:p w:rsidR="00710C26" w:rsidRDefault="00710C26" w:rsidP="00710C26">
      <w:pPr>
        <w:pStyle w:val="ListParagraph"/>
        <w:numPr>
          <w:ilvl w:val="0"/>
          <w:numId w:val="4"/>
        </w:numPr>
      </w:pPr>
      <w:r>
        <w:t>Invoices will be due 1</w:t>
      </w:r>
      <w:r w:rsidRPr="00710C26">
        <w:rPr>
          <w:vertAlign w:val="superscript"/>
        </w:rPr>
        <w:t>st</w:t>
      </w:r>
      <w:r>
        <w:t xml:space="preserve"> July 201</w:t>
      </w:r>
      <w:r w:rsidR="00CD10BD">
        <w:t>4</w:t>
      </w:r>
    </w:p>
    <w:p w:rsidR="00710C26" w:rsidRDefault="00710C26" w:rsidP="00710C26">
      <w:pPr>
        <w:pStyle w:val="ListParagraph"/>
        <w:numPr>
          <w:ilvl w:val="0"/>
          <w:numId w:val="4"/>
        </w:numPr>
      </w:pPr>
      <w:r>
        <w:t>Invoices will have a payment period of 60 days.</w:t>
      </w:r>
    </w:p>
    <w:p w:rsidR="00FD66CC" w:rsidRDefault="00FD66CC" w:rsidP="00FD66CC">
      <w:pPr>
        <w:pStyle w:val="Heading1"/>
      </w:pPr>
      <w:bookmarkStart w:id="0" w:name="_Ref253725933"/>
      <w:r>
        <w:rPr>
          <w:lang w:val="en-US"/>
        </w:rPr>
        <w:lastRenderedPageBreak/>
        <w:t>S</w:t>
      </w:r>
      <w:proofErr w:type="spellStart"/>
      <w:r>
        <w:t>taff</w:t>
      </w:r>
      <w:proofErr w:type="spellEnd"/>
      <w:r>
        <w:t xml:space="preserve"> Costs</w:t>
      </w:r>
    </w:p>
    <w:p w:rsidR="00E56CD1" w:rsidRDefault="00CD10BD" w:rsidP="00FD66CC">
      <w:r>
        <w:t xml:space="preserve">As </w:t>
      </w:r>
      <w:r w:rsidR="00E56CD1">
        <w:t>detailed</w:t>
      </w:r>
      <w:r>
        <w:t xml:space="preserve"> in the EGI.eu Staffing Plan presented in Manchester in April 2014</w:t>
      </w:r>
      <w:r>
        <w:rPr>
          <w:rStyle w:val="FootnoteReference"/>
        </w:rPr>
        <w:footnoteReference w:id="1"/>
      </w:r>
      <w:r w:rsidR="00E56CD1">
        <w:t>, EGI.eu staff</w:t>
      </w:r>
      <w:r w:rsidR="007014A2">
        <w:t>ing levels</w:t>
      </w:r>
      <w:r w:rsidR="00E56CD1">
        <w:t xml:space="preserve"> have been reduced during 2013 </w:t>
      </w:r>
      <w:r w:rsidR="004E6BA0">
        <w:t xml:space="preserve">from 25 people </w:t>
      </w:r>
      <w:r w:rsidR="00E56CD1">
        <w:t xml:space="preserve">to start 2014 with </w:t>
      </w:r>
      <w:r w:rsidR="00B11F13">
        <w:t>2</w:t>
      </w:r>
      <w:r w:rsidR="00C93D14">
        <w:t>2</w:t>
      </w:r>
      <w:r w:rsidR="00BB22C2">
        <w:t xml:space="preserve"> people</w:t>
      </w:r>
      <w:r w:rsidR="00E56CD1">
        <w:t xml:space="preserve"> </w:t>
      </w:r>
      <w:r w:rsidR="00757CC4">
        <w:t>(</w:t>
      </w:r>
      <w:r w:rsidR="007014A2">
        <w:t>including 5</w:t>
      </w:r>
      <w:r w:rsidR="00757CC4">
        <w:t xml:space="preserve"> currently unfilled positions</w:t>
      </w:r>
      <w:r w:rsidR="00B11F13" w:rsidRPr="00B11F13">
        <w:t xml:space="preserve"> in O</w:t>
      </w:r>
      <w:r w:rsidR="00B11F13">
        <w:t>perations, User Community Support Team, Communications</w:t>
      </w:r>
      <w:r w:rsidR="007014A2">
        <w:t>,</w:t>
      </w:r>
      <w:r w:rsidR="00B11F13">
        <w:t xml:space="preserve"> Policy</w:t>
      </w:r>
      <w:r w:rsidR="007014A2">
        <w:t xml:space="preserve"> and Graphic Designer</w:t>
      </w:r>
      <w:r w:rsidR="002E6F16">
        <w:t xml:space="preserve"> [0.5FTE]</w:t>
      </w:r>
      <w:r w:rsidR="00B11F13">
        <w:t>)</w:t>
      </w:r>
      <w:r w:rsidR="00E56CD1">
        <w:t>.</w:t>
      </w:r>
      <w:r w:rsidR="007014A2">
        <w:t xml:space="preserve"> The 22</w:t>
      </w:r>
      <w:r w:rsidR="00BB22C2">
        <w:t xml:space="preserve"> people (</w:t>
      </w:r>
      <w:r w:rsidR="004E6BA0">
        <w:t>19.6</w:t>
      </w:r>
      <w:r w:rsidR="00CD2206">
        <w:t>FTE</w:t>
      </w:r>
      <w:r w:rsidR="00BB22C2">
        <w:t>)</w:t>
      </w:r>
      <w:r w:rsidR="00CD2206">
        <w:t xml:space="preserve"> would be split between </w:t>
      </w:r>
      <w:r w:rsidR="00757CC4">
        <w:t>9 people (</w:t>
      </w:r>
      <w:r w:rsidR="00CD2206">
        <w:t>9FTE</w:t>
      </w:r>
      <w:r w:rsidR="00757CC4">
        <w:t>)</w:t>
      </w:r>
      <w:r w:rsidR="00CD2206">
        <w:t xml:space="preserve"> who are funded </w:t>
      </w:r>
      <w:r w:rsidR="002E6F16">
        <w:t xml:space="preserve">primarily </w:t>
      </w:r>
      <w:r w:rsidR="00CD2206">
        <w:t xml:space="preserve">through the participation fee and </w:t>
      </w:r>
      <w:r w:rsidR="00BB22C2">
        <w:t>13</w:t>
      </w:r>
      <w:r w:rsidR="00757CC4">
        <w:t xml:space="preserve"> people (</w:t>
      </w:r>
      <w:r w:rsidR="004E6BA0">
        <w:t>10.6</w:t>
      </w:r>
      <w:r w:rsidR="00757CC4">
        <w:t>FTE)</w:t>
      </w:r>
      <w:r w:rsidR="00BE6A52">
        <w:t xml:space="preserve"> funded through projects. As some of the staff funded through projects do not work full-time and not all the staff currently </w:t>
      </w:r>
      <w:proofErr w:type="gramStart"/>
      <w:r w:rsidR="00BE6A52">
        <w:t>have</w:t>
      </w:r>
      <w:proofErr w:type="gramEnd"/>
      <w:r w:rsidR="00BE6A52">
        <w:t xml:space="preserve"> projects to support their work throughout the year, the total project effort committed from the project staff during the year is </w:t>
      </w:r>
      <w:r w:rsidR="004E6BA0">
        <w:t>10.1</w:t>
      </w:r>
      <w:r w:rsidR="00BE6A52">
        <w:t>FTE.</w:t>
      </w:r>
    </w:p>
    <w:tbl>
      <w:tblPr>
        <w:tblW w:w="623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2552"/>
        <w:gridCol w:w="992"/>
        <w:gridCol w:w="850"/>
        <w:gridCol w:w="1843"/>
      </w:tblGrid>
      <w:tr w:rsidR="009B34E3" w:rsidRPr="009F103E" w:rsidTr="009B34E3">
        <w:trPr>
          <w:trHeight w:val="288"/>
          <w:jc w:val="center"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9B34E3">
            <w:pPr>
              <w:spacing w:after="0"/>
              <w:jc w:val="center"/>
            </w:pPr>
            <w:r>
              <w:t>Staff Breakdown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center"/>
            </w:pPr>
            <w:r w:rsidRPr="009F103E">
              <w:t>People</w:t>
            </w:r>
          </w:p>
        </w:tc>
        <w:tc>
          <w:tcPr>
            <w:tcW w:w="850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center"/>
            </w:pPr>
            <w:r w:rsidRPr="009F103E">
              <w:t>FTE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center"/>
            </w:pPr>
            <w:r>
              <w:t>Estimated S</w:t>
            </w:r>
            <w:r w:rsidRPr="009F103E">
              <w:t>alar</w:t>
            </w:r>
            <w:r>
              <w:t>y Costs (€)</w:t>
            </w:r>
          </w:p>
        </w:tc>
      </w:tr>
      <w:tr w:rsidR="009B34E3" w:rsidRPr="009F103E" w:rsidTr="009B34E3">
        <w:trPr>
          <w:trHeight w:val="288"/>
          <w:jc w:val="center"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</w:pPr>
            <w:r>
              <w:t xml:space="preserve">Total </w:t>
            </w:r>
            <w:r w:rsidRPr="009F103E">
              <w:t>2013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25 </w:t>
            </w:r>
          </w:p>
        </w:tc>
        <w:tc>
          <w:tcPr>
            <w:tcW w:w="850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21.4 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> </w:t>
            </w:r>
          </w:p>
        </w:tc>
      </w:tr>
      <w:tr w:rsidR="009B34E3" w:rsidRPr="009F103E" w:rsidTr="009B34E3">
        <w:trPr>
          <w:trHeight w:val="288"/>
          <w:jc w:val="center"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</w:pPr>
            <w:r w:rsidRPr="009F103E">
              <w:t>EGI.eu activity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9 </w:t>
            </w:r>
          </w:p>
        </w:tc>
        <w:tc>
          <w:tcPr>
            <w:tcW w:w="850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9 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779,951 </w:t>
            </w:r>
          </w:p>
        </w:tc>
      </w:tr>
      <w:tr w:rsidR="009B34E3" w:rsidRPr="009F103E" w:rsidTr="009B34E3">
        <w:trPr>
          <w:trHeight w:val="288"/>
          <w:jc w:val="center"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</w:pPr>
            <w:r w:rsidRPr="009F103E">
              <w:t>Project activity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13 </w:t>
            </w:r>
          </w:p>
        </w:tc>
        <w:tc>
          <w:tcPr>
            <w:tcW w:w="850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10.1 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721,987 </w:t>
            </w:r>
          </w:p>
        </w:tc>
      </w:tr>
      <w:tr w:rsidR="009B34E3" w:rsidRPr="009F103E" w:rsidTr="009B34E3">
        <w:trPr>
          <w:trHeight w:val="288"/>
          <w:jc w:val="center"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</w:pPr>
            <w:r w:rsidRPr="009F103E">
              <w:t>Project unfunded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> </w:t>
            </w:r>
          </w:p>
        </w:tc>
        <w:tc>
          <w:tcPr>
            <w:tcW w:w="850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0.5 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39,598 </w:t>
            </w:r>
          </w:p>
        </w:tc>
      </w:tr>
      <w:tr w:rsidR="009B34E3" w:rsidRPr="009F103E" w:rsidTr="009B34E3">
        <w:trPr>
          <w:trHeight w:val="288"/>
          <w:jc w:val="center"/>
        </w:trPr>
        <w:tc>
          <w:tcPr>
            <w:tcW w:w="2552" w:type="dxa"/>
            <w:shd w:val="clear" w:color="000000" w:fill="auto"/>
            <w:noWrap/>
            <w:vAlign w:val="center"/>
          </w:tcPr>
          <w:p w:rsidR="009B34E3" w:rsidRPr="009F103E" w:rsidRDefault="009B34E3" w:rsidP="009F103E">
            <w:pPr>
              <w:spacing w:after="0"/>
            </w:pPr>
            <w:r>
              <w:t xml:space="preserve">Total </w:t>
            </w:r>
            <w:r w:rsidRPr="009F103E">
              <w:t>2014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22 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19.6 </w:t>
            </w:r>
          </w:p>
        </w:tc>
        <w:tc>
          <w:tcPr>
            <w:tcW w:w="1843" w:type="dxa"/>
            <w:shd w:val="clear" w:color="000000" w:fill="auto"/>
            <w:noWrap/>
            <w:vAlign w:val="center"/>
          </w:tcPr>
          <w:p w:rsidR="009B34E3" w:rsidRPr="009F103E" w:rsidRDefault="009B34E3" w:rsidP="002952AB">
            <w:pPr>
              <w:spacing w:after="0"/>
              <w:jc w:val="right"/>
            </w:pPr>
            <w:r w:rsidRPr="009F103E">
              <w:t xml:space="preserve">1,541,537 </w:t>
            </w:r>
          </w:p>
        </w:tc>
      </w:tr>
    </w:tbl>
    <w:p w:rsidR="00FD66CC" w:rsidRDefault="00FD66CC" w:rsidP="00FD66CC">
      <w:r w:rsidRPr="00CB0F19">
        <w:t xml:space="preserve">Staff salaries </w:t>
      </w:r>
      <w:r w:rsidR="00F06FC9" w:rsidRPr="00CB0F19">
        <w:t>from 1/1/1</w:t>
      </w:r>
      <w:r w:rsidR="00CB0F19">
        <w:t>4</w:t>
      </w:r>
      <w:r w:rsidR="00F06FC9" w:rsidRPr="00CB0F19">
        <w:t xml:space="preserve"> </w:t>
      </w:r>
      <w:r w:rsidRPr="00CB0F19">
        <w:t>are calculated assuming:</w:t>
      </w:r>
    </w:p>
    <w:p w:rsidR="00FD66CC" w:rsidRDefault="00FD66CC" w:rsidP="00FD66CC">
      <w:pPr>
        <w:numPr>
          <w:ilvl w:val="0"/>
          <w:numId w:val="2"/>
        </w:numPr>
      </w:pPr>
      <w:r>
        <w:t>Costs of living increase from 1/1/1</w:t>
      </w:r>
      <w:r w:rsidR="00E56CD1">
        <w:t>3</w:t>
      </w:r>
      <w:r>
        <w:t xml:space="preserve"> are estimated to be </w:t>
      </w:r>
      <w:r w:rsidR="007D408D">
        <w:t>3</w:t>
      </w:r>
      <w:r w:rsidR="00E56CD1">
        <w:t>.0</w:t>
      </w:r>
      <w:r>
        <w:t>%</w:t>
      </w:r>
      <w:r w:rsidR="00B07DC7">
        <w:t xml:space="preserve"> - current figure in the NL is</w:t>
      </w:r>
      <w:r w:rsidR="00E56CD1">
        <w:t xml:space="preserve"> 3.1%</w:t>
      </w:r>
      <w:r>
        <w:t xml:space="preserve">. The exact figure </w:t>
      </w:r>
      <w:r w:rsidR="00E56CD1">
        <w:t xml:space="preserve">that will be </w:t>
      </w:r>
      <w:r>
        <w:t xml:space="preserve">applied </w:t>
      </w:r>
      <w:r w:rsidR="00E56CD1">
        <w:t xml:space="preserve">to the salaries </w:t>
      </w:r>
      <w:r>
        <w:t>will be based on the figures issued by the Netherlands government (</w:t>
      </w:r>
      <w:r w:rsidRPr="007A45D2">
        <w:t>http://go.egi.eu/cffyy</w:t>
      </w:r>
      <w:r>
        <w:t>) in December 201</w:t>
      </w:r>
      <w:r w:rsidR="00E56CD1">
        <w:t>3</w:t>
      </w:r>
      <w:r>
        <w:t>.</w:t>
      </w:r>
    </w:p>
    <w:p w:rsidR="00FD66CC" w:rsidRDefault="00FD66CC" w:rsidP="00FD66CC">
      <w:pPr>
        <w:numPr>
          <w:ilvl w:val="0"/>
          <w:numId w:val="2"/>
        </w:numPr>
      </w:pPr>
      <w:proofErr w:type="gramStart"/>
      <w:r>
        <w:t>Staff are</w:t>
      </w:r>
      <w:proofErr w:type="gramEnd"/>
      <w:r>
        <w:t xml:space="preserve"> expected to advance one point in their grade on the anniversary of their employment at EGI.eu. This equates</w:t>
      </w:r>
      <w:r w:rsidR="00B07DC7">
        <w:t xml:space="preserve"> to approximately 2.5% increase in salary over the year.</w:t>
      </w:r>
    </w:p>
    <w:p w:rsidR="00FD66CC" w:rsidRDefault="00FD66CC" w:rsidP="00FD66CC">
      <w:pPr>
        <w:numPr>
          <w:ilvl w:val="0"/>
          <w:numId w:val="2"/>
        </w:numPr>
      </w:pPr>
      <w:r>
        <w:t xml:space="preserve">Staff allowances are </w:t>
      </w:r>
      <w:r w:rsidR="00E0145E">
        <w:t xml:space="preserve">proposed to </w:t>
      </w:r>
      <w:r>
        <w:t>increase from 1/1/1</w:t>
      </w:r>
      <w:r w:rsidR="00E56CD1">
        <w:t>4</w:t>
      </w:r>
      <w:r w:rsidR="00E0145E">
        <w:t xml:space="preserve"> to track the expected increase in school fees</w:t>
      </w:r>
      <w: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418"/>
        <w:gridCol w:w="1417"/>
        <w:gridCol w:w="3464"/>
      </w:tblGrid>
      <w:tr w:rsidR="00FD66CC" w:rsidTr="00364B1D">
        <w:tc>
          <w:tcPr>
            <w:tcW w:w="2223" w:type="dxa"/>
            <w:shd w:val="clear" w:color="auto" w:fill="auto"/>
          </w:tcPr>
          <w:p w:rsidR="00FD66CC" w:rsidRDefault="00FD66CC" w:rsidP="00364B1D">
            <w:pPr>
              <w:spacing w:after="0"/>
            </w:pPr>
            <w:r>
              <w:t>Staff Allowance</w:t>
            </w:r>
          </w:p>
        </w:tc>
        <w:tc>
          <w:tcPr>
            <w:tcW w:w="1418" w:type="dxa"/>
            <w:shd w:val="clear" w:color="auto" w:fill="auto"/>
          </w:tcPr>
          <w:p w:rsidR="00FD66CC" w:rsidRDefault="00FD66CC" w:rsidP="00364B1D">
            <w:pPr>
              <w:spacing w:after="0"/>
              <w:jc w:val="center"/>
            </w:pPr>
            <w:r>
              <w:t>Current</w:t>
            </w:r>
          </w:p>
          <w:p w:rsidR="00FD66CC" w:rsidRDefault="00FD66CC" w:rsidP="00364B1D">
            <w:pPr>
              <w:spacing w:after="0"/>
              <w:jc w:val="center"/>
            </w:pPr>
            <w:r>
              <w:t>201</w:t>
            </w:r>
            <w:r w:rsidR="00E56CD1">
              <w:t>3</w:t>
            </w:r>
          </w:p>
        </w:tc>
        <w:tc>
          <w:tcPr>
            <w:tcW w:w="1417" w:type="dxa"/>
            <w:shd w:val="clear" w:color="auto" w:fill="auto"/>
          </w:tcPr>
          <w:p w:rsidR="00FD66CC" w:rsidRDefault="00FD66CC" w:rsidP="00364B1D">
            <w:pPr>
              <w:spacing w:after="0"/>
              <w:jc w:val="center"/>
            </w:pPr>
            <w:r>
              <w:t>Proposed</w:t>
            </w:r>
          </w:p>
          <w:p w:rsidR="00FD66CC" w:rsidRDefault="00FD66CC" w:rsidP="00364B1D">
            <w:pPr>
              <w:spacing w:after="0"/>
              <w:jc w:val="center"/>
            </w:pPr>
            <w:r>
              <w:t>201</w:t>
            </w:r>
            <w:r w:rsidR="00B07DC7">
              <w:t>4</w:t>
            </w:r>
          </w:p>
        </w:tc>
        <w:tc>
          <w:tcPr>
            <w:tcW w:w="3464" w:type="dxa"/>
            <w:shd w:val="clear" w:color="auto" w:fill="auto"/>
          </w:tcPr>
          <w:p w:rsidR="00FD66CC" w:rsidRDefault="00FD66CC" w:rsidP="00364B1D">
            <w:pPr>
              <w:spacing w:after="0"/>
            </w:pPr>
            <w:r>
              <w:t>Notes</w:t>
            </w:r>
          </w:p>
        </w:tc>
      </w:tr>
      <w:tr w:rsidR="00FD66CC" w:rsidTr="00364B1D">
        <w:tc>
          <w:tcPr>
            <w:tcW w:w="2223" w:type="dxa"/>
            <w:shd w:val="clear" w:color="auto" w:fill="auto"/>
          </w:tcPr>
          <w:p w:rsidR="00FD66CC" w:rsidRDefault="00FD66CC" w:rsidP="00364B1D">
            <w:pPr>
              <w:spacing w:after="0"/>
            </w:pPr>
            <w:r>
              <w:t>International schools</w:t>
            </w:r>
          </w:p>
        </w:tc>
        <w:tc>
          <w:tcPr>
            <w:tcW w:w="1418" w:type="dxa"/>
            <w:shd w:val="clear" w:color="auto" w:fill="auto"/>
          </w:tcPr>
          <w:p w:rsidR="00FD66CC" w:rsidRDefault="00FD66CC" w:rsidP="00D014F6">
            <w:pPr>
              <w:spacing w:after="0"/>
              <w:jc w:val="right"/>
            </w:pPr>
            <w:r>
              <w:t>4-11:€4,</w:t>
            </w:r>
            <w:r w:rsidR="00E56CD1">
              <w:t>2</w:t>
            </w:r>
            <w:r>
              <w:t>00</w:t>
            </w:r>
          </w:p>
          <w:p w:rsidR="00FD66CC" w:rsidRDefault="00FD66CC" w:rsidP="00364B1D">
            <w:pPr>
              <w:spacing w:after="0"/>
              <w:jc w:val="right"/>
            </w:pPr>
            <w:r>
              <w:t>12+:€5,</w:t>
            </w:r>
            <w:r w:rsidR="00E56CD1">
              <w:t>2</w:t>
            </w:r>
            <w:r>
              <w:t>00</w:t>
            </w:r>
          </w:p>
        </w:tc>
        <w:tc>
          <w:tcPr>
            <w:tcW w:w="1417" w:type="dxa"/>
            <w:shd w:val="clear" w:color="auto" w:fill="auto"/>
          </w:tcPr>
          <w:p w:rsidR="00FD66CC" w:rsidRDefault="00FD66CC" w:rsidP="00A4687A">
            <w:pPr>
              <w:spacing w:after="0"/>
              <w:jc w:val="right"/>
            </w:pPr>
            <w:r>
              <w:t>4-11:€4,</w:t>
            </w:r>
            <w:r w:rsidR="00E56CD1">
              <w:t>3</w:t>
            </w:r>
            <w:r>
              <w:t>00</w:t>
            </w:r>
          </w:p>
          <w:p w:rsidR="00FD66CC" w:rsidRDefault="00FD66CC" w:rsidP="00B55387">
            <w:pPr>
              <w:spacing w:after="0"/>
              <w:jc w:val="right"/>
            </w:pPr>
            <w:r>
              <w:t>12+:€5,</w:t>
            </w:r>
            <w:r w:rsidR="00E56CD1">
              <w:t>35</w:t>
            </w:r>
            <w:r>
              <w:t>0</w:t>
            </w:r>
          </w:p>
        </w:tc>
        <w:tc>
          <w:tcPr>
            <w:tcW w:w="3464" w:type="dxa"/>
            <w:shd w:val="clear" w:color="auto" w:fill="auto"/>
          </w:tcPr>
          <w:p w:rsidR="00D014F6" w:rsidRDefault="00D014F6" w:rsidP="00D014F6">
            <w:pPr>
              <w:spacing w:after="0"/>
            </w:pPr>
            <w:r>
              <w:t>F</w:t>
            </w:r>
            <w:r w:rsidR="00E56CD1">
              <w:t>Y 2013</w:t>
            </w:r>
            <w:r>
              <w:t xml:space="preserve"> </w:t>
            </w:r>
            <w:r w:rsidR="00FD66CC">
              <w:t>cost €</w:t>
            </w:r>
            <w:r w:rsidR="00E56CD1">
              <w:t>47,000</w:t>
            </w:r>
          </w:p>
          <w:p w:rsidR="00FD66CC" w:rsidRDefault="00E56CD1" w:rsidP="00E50E96">
            <w:pPr>
              <w:spacing w:after="0"/>
            </w:pPr>
            <w:r>
              <w:t>FY 2014</w:t>
            </w:r>
            <w:r w:rsidR="00D014F6">
              <w:t xml:space="preserve"> costs €</w:t>
            </w:r>
            <w:r w:rsidR="00E50E96">
              <w:t>50</w:t>
            </w:r>
            <w:r w:rsidR="00CB0F19">
              <w:t>,000</w:t>
            </w:r>
          </w:p>
        </w:tc>
      </w:tr>
    </w:tbl>
    <w:p w:rsidR="009B34E3" w:rsidRDefault="009B34E3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:rsidR="009B34E3" w:rsidRDefault="009B34E3" w:rsidP="009B34E3">
      <w:r>
        <w:br w:type="page"/>
      </w:r>
    </w:p>
    <w:p w:rsidR="00FD66CC" w:rsidRDefault="00FD66CC" w:rsidP="00FD66CC">
      <w:pPr>
        <w:pStyle w:val="Heading1"/>
        <w:rPr>
          <w:lang w:val="en-US"/>
        </w:rPr>
      </w:pPr>
      <w:r>
        <w:lastRenderedPageBreak/>
        <w:t>Office Costs</w:t>
      </w:r>
      <w:bookmarkEnd w:id="0"/>
    </w:p>
    <w:p w:rsidR="00FD66CC" w:rsidRDefault="00FD66CC" w:rsidP="00FD66CC">
      <w:r>
        <w:t>Office costs relate to the non-salary related costs of</w:t>
      </w:r>
      <w:r w:rsidR="00B07DC7">
        <w:t xml:space="preserve"> supporting the</w:t>
      </w:r>
      <w:r>
        <w:t xml:space="preserve"> EGI.eu staff. These office costs include direct and in-direct costs as they relate to non-staff costs of operating EGI.eu.</w:t>
      </w:r>
      <w:r w:rsidR="00553680">
        <w:t xml:space="preserve"> </w:t>
      </w:r>
    </w:p>
    <w:tbl>
      <w:tblPr>
        <w:tblW w:w="10226" w:type="dxa"/>
        <w:jc w:val="center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980"/>
        <w:gridCol w:w="1094"/>
        <w:gridCol w:w="942"/>
        <w:gridCol w:w="4624"/>
      </w:tblGrid>
      <w:tr w:rsidR="00E62477" w:rsidRPr="00632B46" w:rsidTr="007F130E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D014F6" w:rsidRPr="00632B46" w:rsidRDefault="00D014F6" w:rsidP="00364B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980" w:type="dxa"/>
          </w:tcPr>
          <w:p w:rsidR="00D014F6" w:rsidRDefault="00E56CD1" w:rsidP="00364B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Budget 2013</w:t>
            </w:r>
          </w:p>
          <w:p w:rsidR="00D014F6" w:rsidRDefault="00D014F6" w:rsidP="00364B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(€)</w:t>
            </w:r>
          </w:p>
        </w:tc>
        <w:tc>
          <w:tcPr>
            <w:tcW w:w="1094" w:type="dxa"/>
          </w:tcPr>
          <w:p w:rsidR="00D014F6" w:rsidRDefault="00730936" w:rsidP="00A468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Actual </w:t>
            </w:r>
            <w:r w:rsidR="00E56CD1">
              <w:rPr>
                <w:rFonts w:eastAsia="Times New Roman" w:cs="Calibri"/>
                <w:b/>
                <w:bCs/>
                <w:color w:val="000000"/>
                <w:lang w:eastAsia="en-GB"/>
              </w:rPr>
              <w:t>Projected 2013</w:t>
            </w:r>
            <w:r w:rsidR="00D014F6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(€)</w:t>
            </w:r>
          </w:p>
        </w:tc>
        <w:tc>
          <w:tcPr>
            <w:tcW w:w="942" w:type="dxa"/>
          </w:tcPr>
          <w:p w:rsidR="00D014F6" w:rsidRDefault="00E56CD1" w:rsidP="00A468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Budget 2014</w:t>
            </w:r>
            <w:r w:rsidR="00D014F6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(€)</w:t>
            </w:r>
          </w:p>
        </w:tc>
        <w:tc>
          <w:tcPr>
            <w:tcW w:w="4624" w:type="dxa"/>
          </w:tcPr>
          <w:p w:rsidR="00D014F6" w:rsidRDefault="00D014F6" w:rsidP="00364B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11181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111816">
              <w:rPr>
                <w:rFonts w:eastAsia="Times New Roman" w:cs="Calibri"/>
                <w:b/>
                <w:color w:val="000000"/>
                <w:lang w:eastAsia="en-GB"/>
              </w:rPr>
              <w:t>ICT</w:t>
            </w:r>
          </w:p>
        </w:tc>
        <w:tc>
          <w:tcPr>
            <w:tcW w:w="980" w:type="dxa"/>
            <w:vAlign w:val="bottom"/>
          </w:tcPr>
          <w:p w:rsidR="00E56CD1" w:rsidRPr="0006399E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6399E">
              <w:rPr>
                <w:rFonts w:cs="Calibri"/>
                <w:b/>
                <w:color w:val="000000"/>
              </w:rPr>
              <w:t>23,000</w:t>
            </w:r>
          </w:p>
        </w:tc>
        <w:tc>
          <w:tcPr>
            <w:tcW w:w="1094" w:type="dxa"/>
            <w:vAlign w:val="bottom"/>
          </w:tcPr>
          <w:p w:rsidR="00E56CD1" w:rsidRPr="0006399E" w:rsidRDefault="00E56CD1" w:rsidP="0000353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</w:rPr>
              <w:t>21,196</w:t>
            </w:r>
          </w:p>
        </w:tc>
        <w:tc>
          <w:tcPr>
            <w:tcW w:w="942" w:type="dxa"/>
            <w:vAlign w:val="bottom"/>
          </w:tcPr>
          <w:p w:rsidR="00E56CD1" w:rsidRPr="0006399E" w:rsidRDefault="00E56CD1" w:rsidP="0000353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6399E">
              <w:rPr>
                <w:rFonts w:cs="Calibri"/>
                <w:b/>
                <w:color w:val="000000"/>
              </w:rPr>
              <w:t>23,000</w:t>
            </w:r>
          </w:p>
        </w:tc>
        <w:tc>
          <w:tcPr>
            <w:tcW w:w="4624" w:type="dxa"/>
          </w:tcPr>
          <w:p w:rsidR="00E56CD1" w:rsidRPr="00F1739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Computer Hardware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11,000</w:t>
            </w:r>
          </w:p>
        </w:tc>
        <w:tc>
          <w:tcPr>
            <w:tcW w:w="1094" w:type="dxa"/>
            <w:vAlign w:val="bottom"/>
          </w:tcPr>
          <w:p w:rsidR="00E56CD1" w:rsidRDefault="00E56CD1" w:rsidP="00E56C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7,588</w:t>
            </w:r>
          </w:p>
        </w:tc>
        <w:tc>
          <w:tcPr>
            <w:tcW w:w="942" w:type="dxa"/>
            <w:vAlign w:val="bottom"/>
          </w:tcPr>
          <w:p w:rsidR="00E56CD1" w:rsidRDefault="00E56CD1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11,000</w:t>
            </w:r>
          </w:p>
        </w:tc>
        <w:tc>
          <w:tcPr>
            <w:tcW w:w="4624" w:type="dxa"/>
          </w:tcPr>
          <w:p w:rsidR="00E56CD1" w:rsidRDefault="00D97D05" w:rsidP="00D97D0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Many laptops are 3 years old and will need replacing.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Phones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7,000</w:t>
            </w:r>
          </w:p>
        </w:tc>
        <w:tc>
          <w:tcPr>
            <w:tcW w:w="1094" w:type="dxa"/>
            <w:vAlign w:val="bottom"/>
          </w:tcPr>
          <w:p w:rsidR="00E56CD1" w:rsidRDefault="00D97D05" w:rsidP="00E56C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8,230</w:t>
            </w:r>
          </w:p>
        </w:tc>
        <w:tc>
          <w:tcPr>
            <w:tcW w:w="942" w:type="dxa"/>
            <w:vAlign w:val="bottom"/>
          </w:tcPr>
          <w:p w:rsidR="00E56CD1" w:rsidRDefault="00E56CD1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7,000</w:t>
            </w:r>
          </w:p>
        </w:tc>
        <w:tc>
          <w:tcPr>
            <w:tcW w:w="4624" w:type="dxa"/>
          </w:tcPr>
          <w:p w:rsidR="00E56CD1" w:rsidRDefault="00D97D05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Phone costs will reduce as staff numbers reduce</w:t>
            </w:r>
            <w:r w:rsidR="00E56CD1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IT Services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5,000</w:t>
            </w:r>
          </w:p>
        </w:tc>
        <w:tc>
          <w:tcPr>
            <w:tcW w:w="1094" w:type="dxa"/>
            <w:vAlign w:val="bottom"/>
          </w:tcPr>
          <w:p w:rsidR="00E56CD1" w:rsidRDefault="00E56CD1" w:rsidP="00D97D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5,</w:t>
            </w:r>
            <w:r w:rsidR="00D97D05">
              <w:rPr>
                <w:rFonts w:cs="Calibri"/>
                <w:color w:val="000000"/>
              </w:rPr>
              <w:t>379</w:t>
            </w:r>
          </w:p>
        </w:tc>
        <w:tc>
          <w:tcPr>
            <w:tcW w:w="942" w:type="dxa"/>
            <w:vAlign w:val="bottom"/>
          </w:tcPr>
          <w:p w:rsidR="00E56CD1" w:rsidRDefault="00E56CD1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5,000</w:t>
            </w:r>
          </w:p>
        </w:tc>
        <w:tc>
          <w:tcPr>
            <w:tcW w:w="4624" w:type="dxa"/>
          </w:tcPr>
          <w:p w:rsidR="00E56CD1" w:rsidRDefault="00E62477" w:rsidP="00E6247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Lower annual cost of Google Apps.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11181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111816">
              <w:rPr>
                <w:rFonts w:eastAsia="Times New Roman" w:cs="Calibri"/>
                <w:b/>
                <w:color w:val="000000"/>
                <w:lang w:eastAsia="en-GB"/>
              </w:rPr>
              <w:t>Facilities</w:t>
            </w:r>
          </w:p>
        </w:tc>
        <w:tc>
          <w:tcPr>
            <w:tcW w:w="980" w:type="dxa"/>
            <w:vAlign w:val="bottom"/>
          </w:tcPr>
          <w:p w:rsidR="00E56CD1" w:rsidRPr="0006399E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6399E">
              <w:rPr>
                <w:rFonts w:cs="Calibri"/>
                <w:b/>
                <w:color w:val="000000"/>
              </w:rPr>
              <w:t>93,000</w:t>
            </w:r>
          </w:p>
        </w:tc>
        <w:tc>
          <w:tcPr>
            <w:tcW w:w="1094" w:type="dxa"/>
            <w:vAlign w:val="bottom"/>
          </w:tcPr>
          <w:p w:rsidR="00E56CD1" w:rsidRPr="0006399E" w:rsidRDefault="00D97D05" w:rsidP="00D97D0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</w:rPr>
              <w:t>97,272</w:t>
            </w:r>
          </w:p>
        </w:tc>
        <w:tc>
          <w:tcPr>
            <w:tcW w:w="942" w:type="dxa"/>
            <w:vAlign w:val="bottom"/>
          </w:tcPr>
          <w:p w:rsidR="00E56CD1" w:rsidRPr="0006399E" w:rsidRDefault="00CB0F19" w:rsidP="0000353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</w:rPr>
              <w:t>98,298</w:t>
            </w:r>
          </w:p>
        </w:tc>
        <w:tc>
          <w:tcPr>
            <w:tcW w:w="4624" w:type="dxa"/>
          </w:tcPr>
          <w:p w:rsidR="00E56CD1" w:rsidRPr="00F1739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</w:p>
        </w:tc>
      </w:tr>
      <w:tr w:rsidR="00E62477" w:rsidRPr="00632B46" w:rsidTr="00BE6A52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Office Space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75,000</w:t>
            </w:r>
          </w:p>
        </w:tc>
        <w:tc>
          <w:tcPr>
            <w:tcW w:w="1094" w:type="dxa"/>
            <w:vAlign w:val="bottom"/>
          </w:tcPr>
          <w:p w:rsidR="00E56CD1" w:rsidRDefault="00D97D05" w:rsidP="00D97D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93,262</w:t>
            </w:r>
          </w:p>
        </w:tc>
        <w:tc>
          <w:tcPr>
            <w:tcW w:w="942" w:type="dxa"/>
            <w:vAlign w:val="bottom"/>
          </w:tcPr>
          <w:p w:rsidR="00E56CD1" w:rsidRDefault="00CB0F19" w:rsidP="00BE6A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color w:val="000000"/>
              </w:rPr>
              <w:t>86,298</w:t>
            </w:r>
          </w:p>
        </w:tc>
        <w:tc>
          <w:tcPr>
            <w:tcW w:w="4624" w:type="dxa"/>
          </w:tcPr>
          <w:p w:rsidR="00E56CD1" w:rsidRDefault="00E56CD1" w:rsidP="00D97D0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Increases due</w:t>
            </w:r>
            <w:r w:rsidR="00E62477">
              <w:rPr>
                <w:rFonts w:eastAsia="Times New Roman" w:cs="Calibri"/>
                <w:color w:val="000000"/>
                <w:lang w:eastAsia="en-GB"/>
              </w:rPr>
              <w:t xml:space="preserve"> to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inflation</w:t>
            </w:r>
            <w:r w:rsidR="00D97D05">
              <w:rPr>
                <w:rFonts w:eastAsia="Times New Roman" w:cs="Calibri"/>
                <w:color w:val="000000"/>
                <w:lang w:eastAsia="en-GB"/>
              </w:rPr>
              <w:t xml:space="preserve"> and increased floor area</w:t>
            </w:r>
            <w:r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Meeting Costs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6,000</w:t>
            </w:r>
          </w:p>
        </w:tc>
        <w:tc>
          <w:tcPr>
            <w:tcW w:w="1094" w:type="dxa"/>
            <w:vAlign w:val="bottom"/>
          </w:tcPr>
          <w:p w:rsidR="00E56CD1" w:rsidRDefault="00D97D05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2,500</w:t>
            </w:r>
          </w:p>
        </w:tc>
        <w:tc>
          <w:tcPr>
            <w:tcW w:w="942" w:type="dxa"/>
            <w:vAlign w:val="bottom"/>
          </w:tcPr>
          <w:p w:rsidR="00E56CD1" w:rsidRDefault="00E62477" w:rsidP="00E624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3,000</w:t>
            </w:r>
          </w:p>
        </w:tc>
        <w:tc>
          <w:tcPr>
            <w:tcW w:w="4624" w:type="dxa"/>
          </w:tcPr>
          <w:p w:rsidR="00E56CD1" w:rsidRDefault="00D97D05" w:rsidP="00D97D0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Restructured office space reduces external meeting costs</w:t>
            </w:r>
            <w:r w:rsidR="00E56CD1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Miscellaneous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12,000</w:t>
            </w:r>
          </w:p>
        </w:tc>
        <w:tc>
          <w:tcPr>
            <w:tcW w:w="1094" w:type="dxa"/>
            <w:vAlign w:val="bottom"/>
          </w:tcPr>
          <w:p w:rsidR="00E56CD1" w:rsidRDefault="00E56CD1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12,000</w:t>
            </w:r>
          </w:p>
        </w:tc>
        <w:tc>
          <w:tcPr>
            <w:tcW w:w="942" w:type="dxa"/>
            <w:vAlign w:val="bottom"/>
          </w:tcPr>
          <w:p w:rsidR="00E56CD1" w:rsidRDefault="00E62477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9</w:t>
            </w:r>
            <w:r w:rsidR="00E56CD1">
              <w:rPr>
                <w:rFonts w:cs="Calibri"/>
                <w:color w:val="000000"/>
              </w:rPr>
              <w:t>,000</w:t>
            </w:r>
          </w:p>
        </w:tc>
        <w:tc>
          <w:tcPr>
            <w:tcW w:w="4624" w:type="dxa"/>
          </w:tcPr>
          <w:p w:rsidR="00E56CD1" w:rsidRDefault="00E56CD1" w:rsidP="00E0145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11181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111816">
              <w:rPr>
                <w:rFonts w:eastAsia="Times New Roman" w:cs="Calibri"/>
                <w:b/>
                <w:color w:val="000000"/>
                <w:lang w:eastAsia="en-GB"/>
              </w:rPr>
              <w:t>Staff Costs</w:t>
            </w:r>
          </w:p>
        </w:tc>
        <w:tc>
          <w:tcPr>
            <w:tcW w:w="980" w:type="dxa"/>
            <w:vAlign w:val="bottom"/>
          </w:tcPr>
          <w:p w:rsidR="00E56CD1" w:rsidRPr="0006399E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6399E">
              <w:rPr>
                <w:rFonts w:cs="Calibri"/>
                <w:b/>
                <w:color w:val="000000"/>
              </w:rPr>
              <w:t>1</w:t>
            </w:r>
            <w:r>
              <w:rPr>
                <w:rFonts w:cs="Calibri"/>
                <w:b/>
                <w:color w:val="000000"/>
              </w:rPr>
              <w:t>46</w:t>
            </w:r>
            <w:r w:rsidRPr="0006399E">
              <w:rPr>
                <w:rFonts w:cs="Calibri"/>
                <w:b/>
                <w:color w:val="000000"/>
              </w:rPr>
              <w:t>,000</w:t>
            </w:r>
          </w:p>
        </w:tc>
        <w:tc>
          <w:tcPr>
            <w:tcW w:w="1094" w:type="dxa"/>
            <w:vAlign w:val="bottom"/>
          </w:tcPr>
          <w:p w:rsidR="00E56CD1" w:rsidRPr="0006399E" w:rsidRDefault="00D97D05" w:rsidP="00D97D0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</w:rPr>
              <w:t>134</w:t>
            </w:r>
            <w:r w:rsidR="00E56CD1" w:rsidRPr="0006399E">
              <w:rPr>
                <w:rFonts w:cs="Calibri"/>
                <w:b/>
                <w:color w:val="000000"/>
              </w:rPr>
              <w:t>,</w:t>
            </w:r>
            <w:r>
              <w:rPr>
                <w:rFonts w:cs="Calibri"/>
                <w:b/>
                <w:color w:val="000000"/>
              </w:rPr>
              <w:t>579</w:t>
            </w:r>
          </w:p>
        </w:tc>
        <w:tc>
          <w:tcPr>
            <w:tcW w:w="942" w:type="dxa"/>
            <w:vAlign w:val="bottom"/>
          </w:tcPr>
          <w:p w:rsidR="00E56CD1" w:rsidRPr="0006399E" w:rsidRDefault="00E56CD1" w:rsidP="00A3385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6399E">
              <w:rPr>
                <w:rFonts w:cs="Calibri"/>
                <w:b/>
                <w:color w:val="000000"/>
              </w:rPr>
              <w:t>1</w:t>
            </w:r>
            <w:r w:rsidR="00E62477">
              <w:rPr>
                <w:rFonts w:cs="Calibri"/>
                <w:b/>
                <w:color w:val="000000"/>
              </w:rPr>
              <w:t>17</w:t>
            </w:r>
            <w:r w:rsidRPr="0006399E">
              <w:rPr>
                <w:rFonts w:cs="Calibri"/>
                <w:b/>
                <w:color w:val="000000"/>
              </w:rPr>
              <w:t>,000</w:t>
            </w:r>
          </w:p>
        </w:tc>
        <w:tc>
          <w:tcPr>
            <w:tcW w:w="4624" w:type="dxa"/>
          </w:tcPr>
          <w:p w:rsidR="00E56CD1" w:rsidRPr="00F1739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Travel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(Management)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80,000</w:t>
            </w:r>
          </w:p>
        </w:tc>
        <w:tc>
          <w:tcPr>
            <w:tcW w:w="1094" w:type="dxa"/>
            <w:vAlign w:val="bottom"/>
          </w:tcPr>
          <w:p w:rsidR="00E56CD1" w:rsidRDefault="00D97D05" w:rsidP="00D97D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71,713</w:t>
            </w:r>
          </w:p>
        </w:tc>
        <w:tc>
          <w:tcPr>
            <w:tcW w:w="942" w:type="dxa"/>
            <w:vAlign w:val="bottom"/>
          </w:tcPr>
          <w:p w:rsidR="00E56CD1" w:rsidRDefault="00E62477" w:rsidP="009012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64</w:t>
            </w:r>
            <w:r w:rsidR="00E56CD1">
              <w:rPr>
                <w:rFonts w:cs="Calibri"/>
                <w:color w:val="000000"/>
              </w:rPr>
              <w:t>,000</w:t>
            </w:r>
          </w:p>
        </w:tc>
        <w:tc>
          <w:tcPr>
            <w:tcW w:w="4624" w:type="dxa"/>
          </w:tcPr>
          <w:p w:rsidR="00E56CD1" w:rsidRDefault="00E62477" w:rsidP="009012B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Decrease </w:t>
            </w:r>
            <w:r w:rsidR="00E56CD1">
              <w:rPr>
                <w:rFonts w:eastAsia="Times New Roman" w:cs="Calibri"/>
                <w:color w:val="000000"/>
                <w:lang w:eastAsia="en-GB"/>
              </w:rPr>
              <w:t>in number of projects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and staff.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Travel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(Other)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60,000</w:t>
            </w:r>
          </w:p>
        </w:tc>
        <w:tc>
          <w:tcPr>
            <w:tcW w:w="1094" w:type="dxa"/>
            <w:vAlign w:val="bottom"/>
          </w:tcPr>
          <w:p w:rsidR="00E56CD1" w:rsidRDefault="00D97D05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47,018</w:t>
            </w:r>
          </w:p>
        </w:tc>
        <w:tc>
          <w:tcPr>
            <w:tcW w:w="942" w:type="dxa"/>
            <w:vAlign w:val="bottom"/>
          </w:tcPr>
          <w:p w:rsidR="00E56CD1" w:rsidRDefault="00E62477" w:rsidP="009012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48</w:t>
            </w:r>
            <w:r w:rsidR="00E56CD1">
              <w:rPr>
                <w:rFonts w:cs="Calibri"/>
                <w:color w:val="000000"/>
              </w:rPr>
              <w:t>,000</w:t>
            </w:r>
          </w:p>
        </w:tc>
        <w:tc>
          <w:tcPr>
            <w:tcW w:w="4624" w:type="dxa"/>
          </w:tcPr>
          <w:p w:rsidR="00E56CD1" w:rsidRDefault="00E62477" w:rsidP="009012B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Decrease in number of projects and staff.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Staff Development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cs="Calibri"/>
                <w:color w:val="000000"/>
              </w:rPr>
              <w:t>6,000</w:t>
            </w:r>
          </w:p>
        </w:tc>
        <w:tc>
          <w:tcPr>
            <w:tcW w:w="1094" w:type="dxa"/>
            <w:vAlign w:val="bottom"/>
          </w:tcPr>
          <w:p w:rsidR="00E56CD1" w:rsidRDefault="00D97D05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cs="Calibri"/>
                <w:color w:val="000000"/>
              </w:rPr>
              <w:t>15,848</w:t>
            </w:r>
          </w:p>
        </w:tc>
        <w:tc>
          <w:tcPr>
            <w:tcW w:w="942" w:type="dxa"/>
            <w:vAlign w:val="bottom"/>
          </w:tcPr>
          <w:p w:rsidR="00E56CD1" w:rsidRDefault="00E62477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cs="Calibri"/>
                <w:color w:val="000000"/>
              </w:rPr>
              <w:t>5</w:t>
            </w:r>
            <w:r w:rsidR="00E56CD1">
              <w:rPr>
                <w:rFonts w:cs="Calibri"/>
                <w:color w:val="000000"/>
              </w:rPr>
              <w:t>,000</w:t>
            </w:r>
          </w:p>
        </w:tc>
        <w:tc>
          <w:tcPr>
            <w:tcW w:w="4624" w:type="dxa"/>
          </w:tcPr>
          <w:p w:rsidR="00E56CD1" w:rsidRDefault="00E62477" w:rsidP="00364B1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Reduction in staff numbers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11181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111816">
              <w:rPr>
                <w:rFonts w:eastAsia="Times New Roman" w:cs="Calibri"/>
                <w:b/>
                <w:color w:val="000000"/>
                <w:lang w:eastAsia="en-GB"/>
              </w:rPr>
              <w:t>Professional Costs</w:t>
            </w:r>
          </w:p>
        </w:tc>
        <w:tc>
          <w:tcPr>
            <w:tcW w:w="980" w:type="dxa"/>
            <w:vAlign w:val="bottom"/>
          </w:tcPr>
          <w:p w:rsidR="00E56CD1" w:rsidRPr="0006399E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6399E">
              <w:rPr>
                <w:rFonts w:cs="Calibri"/>
                <w:b/>
                <w:color w:val="000000"/>
              </w:rPr>
              <w:t>45,000</w:t>
            </w:r>
          </w:p>
        </w:tc>
        <w:tc>
          <w:tcPr>
            <w:tcW w:w="1094" w:type="dxa"/>
            <w:vAlign w:val="bottom"/>
          </w:tcPr>
          <w:p w:rsidR="00E56CD1" w:rsidRPr="0006399E" w:rsidRDefault="00E56CD1" w:rsidP="00D97D0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6399E">
              <w:rPr>
                <w:rFonts w:cs="Calibri"/>
                <w:b/>
                <w:color w:val="000000"/>
              </w:rPr>
              <w:t>3</w:t>
            </w:r>
            <w:r w:rsidR="00D97D05">
              <w:rPr>
                <w:rFonts w:cs="Calibri"/>
                <w:b/>
                <w:color w:val="000000"/>
              </w:rPr>
              <w:t>0,000</w:t>
            </w:r>
          </w:p>
        </w:tc>
        <w:tc>
          <w:tcPr>
            <w:tcW w:w="942" w:type="dxa"/>
            <w:vAlign w:val="bottom"/>
          </w:tcPr>
          <w:p w:rsidR="00E56CD1" w:rsidRPr="0006399E" w:rsidRDefault="00E62477" w:rsidP="00E6247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</w:rPr>
              <w:t>37,500</w:t>
            </w:r>
          </w:p>
        </w:tc>
        <w:tc>
          <w:tcPr>
            <w:tcW w:w="4624" w:type="dxa"/>
          </w:tcPr>
          <w:p w:rsidR="00E56CD1" w:rsidRPr="00F1739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Financial Services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15,000</w:t>
            </w:r>
          </w:p>
        </w:tc>
        <w:tc>
          <w:tcPr>
            <w:tcW w:w="1094" w:type="dxa"/>
            <w:vAlign w:val="bottom"/>
          </w:tcPr>
          <w:p w:rsidR="00E56CD1" w:rsidRDefault="00D97D05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10,000</w:t>
            </w:r>
          </w:p>
        </w:tc>
        <w:tc>
          <w:tcPr>
            <w:tcW w:w="942" w:type="dxa"/>
            <w:vAlign w:val="bottom"/>
          </w:tcPr>
          <w:p w:rsidR="00E56CD1" w:rsidRDefault="00E62477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12,500</w:t>
            </w:r>
          </w:p>
        </w:tc>
        <w:tc>
          <w:tcPr>
            <w:tcW w:w="4624" w:type="dxa"/>
          </w:tcPr>
          <w:p w:rsidR="00E56CD1" w:rsidRDefault="00E62477" w:rsidP="00A4687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Reduction by bringing work in house.</w:t>
            </w: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632B46">
              <w:rPr>
                <w:rFonts w:eastAsia="Times New Roman" w:cs="Calibri"/>
                <w:color w:val="000000"/>
                <w:lang w:eastAsia="en-GB"/>
              </w:rPr>
              <w:t>Professional Fees</w:t>
            </w:r>
          </w:p>
        </w:tc>
        <w:tc>
          <w:tcPr>
            <w:tcW w:w="980" w:type="dxa"/>
            <w:vAlign w:val="bottom"/>
          </w:tcPr>
          <w:p w:rsidR="00E56CD1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30,000</w:t>
            </w:r>
          </w:p>
        </w:tc>
        <w:tc>
          <w:tcPr>
            <w:tcW w:w="1094" w:type="dxa"/>
            <w:vAlign w:val="bottom"/>
          </w:tcPr>
          <w:p w:rsidR="00E56CD1" w:rsidRDefault="00D97D05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20,000</w:t>
            </w:r>
          </w:p>
        </w:tc>
        <w:tc>
          <w:tcPr>
            <w:tcW w:w="942" w:type="dxa"/>
            <w:vAlign w:val="bottom"/>
          </w:tcPr>
          <w:p w:rsidR="00E56CD1" w:rsidRDefault="00E62477" w:rsidP="000035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25,000</w:t>
            </w:r>
          </w:p>
        </w:tc>
        <w:tc>
          <w:tcPr>
            <w:tcW w:w="4624" w:type="dxa"/>
          </w:tcPr>
          <w:p w:rsidR="00E56CD1" w:rsidRDefault="00E56CD1" w:rsidP="00E6247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62477" w:rsidRPr="00632B46" w:rsidTr="00003539">
        <w:trPr>
          <w:trHeight w:val="300"/>
          <w:jc w:val="center"/>
        </w:trPr>
        <w:tc>
          <w:tcPr>
            <w:tcW w:w="2586" w:type="dxa"/>
            <w:shd w:val="clear" w:color="auto" w:fill="auto"/>
            <w:noWrap/>
            <w:vAlign w:val="bottom"/>
            <w:hideMark/>
          </w:tcPr>
          <w:p w:rsidR="00E56CD1" w:rsidRPr="00632B46" w:rsidRDefault="00E56CD1" w:rsidP="00364B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32B46">
              <w:rPr>
                <w:rFonts w:eastAsia="Times New Roman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80" w:type="dxa"/>
            <w:vAlign w:val="bottom"/>
          </w:tcPr>
          <w:p w:rsidR="00E56CD1" w:rsidRPr="00A8018B" w:rsidRDefault="00E56CD1" w:rsidP="00C242C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A8018B">
              <w:rPr>
                <w:rFonts w:cs="Calibri"/>
                <w:b/>
                <w:color w:val="000000"/>
              </w:rPr>
              <w:t>307,000</w:t>
            </w:r>
          </w:p>
        </w:tc>
        <w:tc>
          <w:tcPr>
            <w:tcW w:w="1094" w:type="dxa"/>
            <w:vAlign w:val="bottom"/>
          </w:tcPr>
          <w:p w:rsidR="00E56CD1" w:rsidRPr="00A8018B" w:rsidRDefault="00E56CD1" w:rsidP="00CA6F4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A8018B">
              <w:rPr>
                <w:rFonts w:cs="Calibri"/>
                <w:b/>
                <w:color w:val="000000"/>
              </w:rPr>
              <w:t>2</w:t>
            </w:r>
            <w:r w:rsidR="00D97D05">
              <w:rPr>
                <w:rFonts w:cs="Calibri"/>
                <w:b/>
                <w:color w:val="000000"/>
              </w:rPr>
              <w:t>83,038</w:t>
            </w:r>
          </w:p>
        </w:tc>
        <w:tc>
          <w:tcPr>
            <w:tcW w:w="942" w:type="dxa"/>
            <w:vAlign w:val="bottom"/>
          </w:tcPr>
          <w:p w:rsidR="00E56CD1" w:rsidRPr="00A8018B" w:rsidRDefault="00CB0F19" w:rsidP="00E6247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</w:rPr>
              <w:t>275,798</w:t>
            </w:r>
          </w:p>
        </w:tc>
        <w:tc>
          <w:tcPr>
            <w:tcW w:w="4624" w:type="dxa"/>
          </w:tcPr>
          <w:p w:rsidR="00E56CD1" w:rsidRPr="00F17396" w:rsidRDefault="00E56CD1" w:rsidP="00364B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</w:p>
        </w:tc>
      </w:tr>
    </w:tbl>
    <w:p w:rsidR="00A8018B" w:rsidRDefault="00A8018B" w:rsidP="00A8018B">
      <w:pPr>
        <w:rPr>
          <w:rFonts w:ascii="Cambria" w:eastAsia="Times New Roman" w:hAnsi="Cambria"/>
          <w:color w:val="365F91"/>
          <w:sz w:val="28"/>
          <w:szCs w:val="28"/>
        </w:rPr>
      </w:pPr>
      <w:r>
        <w:br w:type="page"/>
      </w:r>
    </w:p>
    <w:p w:rsidR="00FD66CC" w:rsidRDefault="00FD66CC" w:rsidP="00FD66CC">
      <w:pPr>
        <w:pStyle w:val="Heading1"/>
      </w:pPr>
      <w:r>
        <w:lastRenderedPageBreak/>
        <w:t>Overall Balance</w:t>
      </w:r>
      <w:r w:rsidR="00E614F6">
        <w:t xml:space="preserve"> FY201</w:t>
      </w:r>
      <w:r w:rsidR="005F3D94">
        <w:t>4</w:t>
      </w:r>
    </w:p>
    <w:p w:rsidR="00FD66CC" w:rsidRPr="00FD66CC" w:rsidRDefault="00FD66CC" w:rsidP="00FD66CC">
      <w:r>
        <w:t>Summarising the figures presented in the previous sections, the budget for FY201</w:t>
      </w:r>
      <w:r w:rsidR="00E62477">
        <w:t>4</w:t>
      </w:r>
      <w:r>
        <w:t xml:space="preserve"> is: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60"/>
        <w:gridCol w:w="1134"/>
        <w:gridCol w:w="4111"/>
        <w:gridCol w:w="1275"/>
      </w:tblGrid>
      <w:tr w:rsidR="0058246A" w:rsidRPr="001D23C6" w:rsidTr="009B34E3">
        <w:trPr>
          <w:trHeight w:val="300"/>
        </w:trPr>
        <w:tc>
          <w:tcPr>
            <w:tcW w:w="2660" w:type="dxa"/>
            <w:noWrap/>
          </w:tcPr>
          <w:p w:rsidR="00E93B34" w:rsidRPr="001D23C6" w:rsidRDefault="00E93B34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</w:tcPr>
          <w:p w:rsidR="00E93B34" w:rsidRPr="00737D1B" w:rsidRDefault="00E93B34" w:rsidP="00E93B34">
            <w:pPr>
              <w:tabs>
                <w:tab w:val="left" w:pos="3184"/>
                <w:tab w:val="left" w:pos="4716"/>
                <w:tab w:val="left" w:pos="8226"/>
              </w:tabs>
              <w:jc w:val="center"/>
              <w:rPr>
                <w:b/>
              </w:rPr>
            </w:pPr>
            <w:r w:rsidRPr="00737D1B">
              <w:rPr>
                <w:b/>
              </w:rPr>
              <w:t>Budget 201</w:t>
            </w:r>
            <w:r w:rsidR="005F3D94">
              <w:rPr>
                <w:b/>
              </w:rPr>
              <w:t>4</w:t>
            </w:r>
            <w:r>
              <w:rPr>
                <w:b/>
              </w:rPr>
              <w:t xml:space="preserve"> (€)</w:t>
            </w:r>
          </w:p>
        </w:tc>
        <w:tc>
          <w:tcPr>
            <w:tcW w:w="4111" w:type="dxa"/>
            <w:noWrap/>
          </w:tcPr>
          <w:p w:rsidR="00E93B34" w:rsidRPr="001D23C6" w:rsidRDefault="00E93B34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275" w:type="dxa"/>
            <w:noWrap/>
          </w:tcPr>
          <w:p w:rsidR="00E93B34" w:rsidRPr="001D23C6" w:rsidRDefault="00E93B34" w:rsidP="00E93B34">
            <w:pPr>
              <w:tabs>
                <w:tab w:val="left" w:pos="3184"/>
                <w:tab w:val="left" w:pos="4716"/>
                <w:tab w:val="left" w:pos="8226"/>
              </w:tabs>
              <w:jc w:val="center"/>
            </w:pPr>
            <w:r w:rsidRPr="00737D1B">
              <w:rPr>
                <w:b/>
              </w:rPr>
              <w:t>Budget 201</w:t>
            </w:r>
            <w:r w:rsidR="005F3D94">
              <w:rPr>
                <w:b/>
              </w:rPr>
              <w:t>4</w:t>
            </w:r>
            <w:r>
              <w:rPr>
                <w:b/>
              </w:rPr>
              <w:t xml:space="preserve"> (€)</w:t>
            </w:r>
          </w:p>
        </w:tc>
      </w:tr>
      <w:tr w:rsidR="0058246A" w:rsidRPr="001D23C6" w:rsidTr="009B34E3">
        <w:trPr>
          <w:trHeight w:val="300"/>
        </w:trPr>
        <w:tc>
          <w:tcPr>
            <w:tcW w:w="2660" w:type="dxa"/>
            <w:noWrap/>
            <w:vAlign w:val="center"/>
            <w:hideMark/>
          </w:tcPr>
          <w:p w:rsidR="005F3D94" w:rsidRPr="001D23C6" w:rsidRDefault="005F3D94" w:rsidP="005F3D94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Projected</w:t>
            </w:r>
            <w:r>
              <w:t xml:space="preserve"> Balance (1</w:t>
            </w:r>
            <w:r w:rsidRPr="001D23C6">
              <w:t>/1</w:t>
            </w:r>
            <w:r>
              <w:t>/14</w:t>
            </w:r>
            <w:r w:rsidRPr="001D23C6"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5F3D94" w:rsidRPr="00E03A8F" w:rsidRDefault="00E03A8F" w:rsidP="00E03A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1,330,697</w:t>
            </w:r>
          </w:p>
        </w:tc>
        <w:tc>
          <w:tcPr>
            <w:tcW w:w="4111" w:type="dxa"/>
            <w:noWrap/>
            <w:vAlign w:val="center"/>
            <w:hideMark/>
          </w:tcPr>
          <w:p w:rsidR="005F3D94" w:rsidRPr="001D23C6" w:rsidRDefault="005F3D94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275" w:type="dxa"/>
            <w:noWrap/>
            <w:vAlign w:val="center"/>
            <w:hideMark/>
          </w:tcPr>
          <w:p w:rsidR="005F3D94" w:rsidRPr="001D23C6" w:rsidRDefault="005F3D94" w:rsidP="00DE6B2D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</w:tr>
      <w:tr w:rsidR="0058246A" w:rsidRPr="001D23C6" w:rsidTr="009B34E3">
        <w:trPr>
          <w:trHeight w:val="300"/>
        </w:trPr>
        <w:tc>
          <w:tcPr>
            <w:tcW w:w="2660" w:type="dxa"/>
            <w:noWrap/>
            <w:vAlign w:val="center"/>
            <w:hideMark/>
          </w:tcPr>
          <w:p w:rsidR="005F3D94" w:rsidRPr="00A8018B" w:rsidRDefault="005F3D94" w:rsidP="001D23C6">
            <w:pPr>
              <w:tabs>
                <w:tab w:val="left" w:pos="3184"/>
                <w:tab w:val="left" w:pos="4716"/>
                <w:tab w:val="left" w:pos="8226"/>
              </w:tabs>
              <w:rPr>
                <w:b/>
              </w:rPr>
            </w:pPr>
            <w:r w:rsidRPr="00A8018B">
              <w:rPr>
                <w:b/>
              </w:rPr>
              <w:t>Income</w:t>
            </w:r>
          </w:p>
        </w:tc>
        <w:tc>
          <w:tcPr>
            <w:tcW w:w="1134" w:type="dxa"/>
            <w:noWrap/>
            <w:vAlign w:val="center"/>
            <w:hideMark/>
          </w:tcPr>
          <w:p w:rsidR="005F3D94" w:rsidRPr="00AA1058" w:rsidRDefault="005F3D94" w:rsidP="0084364A">
            <w:pPr>
              <w:jc w:val="right"/>
            </w:pPr>
          </w:p>
        </w:tc>
        <w:tc>
          <w:tcPr>
            <w:tcW w:w="4111" w:type="dxa"/>
            <w:noWrap/>
            <w:vAlign w:val="center"/>
            <w:hideMark/>
          </w:tcPr>
          <w:p w:rsidR="005F3D94" w:rsidRPr="00A8018B" w:rsidRDefault="005F3D94" w:rsidP="001D23C6">
            <w:pPr>
              <w:tabs>
                <w:tab w:val="left" w:pos="3184"/>
                <w:tab w:val="left" w:pos="4716"/>
                <w:tab w:val="left" w:pos="8226"/>
              </w:tabs>
              <w:rPr>
                <w:b/>
              </w:rPr>
            </w:pPr>
            <w:r w:rsidRPr="00A8018B">
              <w:rPr>
                <w:b/>
              </w:rPr>
              <w:t>Expenditure</w:t>
            </w:r>
          </w:p>
        </w:tc>
        <w:tc>
          <w:tcPr>
            <w:tcW w:w="1275" w:type="dxa"/>
            <w:noWrap/>
            <w:vAlign w:val="center"/>
            <w:hideMark/>
          </w:tcPr>
          <w:p w:rsidR="005F3D94" w:rsidRPr="001D23C6" w:rsidRDefault="005F3D94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</w:tr>
      <w:tr w:rsidR="0058246A" w:rsidRPr="001D23C6" w:rsidTr="009B34E3">
        <w:trPr>
          <w:trHeight w:val="300"/>
        </w:trPr>
        <w:tc>
          <w:tcPr>
            <w:tcW w:w="2660" w:type="dxa"/>
            <w:noWrap/>
            <w:vAlign w:val="center"/>
            <w:hideMark/>
          </w:tcPr>
          <w:p w:rsidR="00E03A8F" w:rsidRPr="001D23C6" w:rsidRDefault="00E03A8F" w:rsidP="001D23C6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EC Projects</w:t>
            </w:r>
          </w:p>
        </w:tc>
        <w:tc>
          <w:tcPr>
            <w:tcW w:w="1134" w:type="dxa"/>
            <w:noWrap/>
            <w:vAlign w:val="center"/>
            <w:hideMark/>
          </w:tcPr>
          <w:p w:rsidR="00E03A8F" w:rsidRDefault="00E03A8F" w:rsidP="0084364A">
            <w:pPr>
              <w:jc w:val="right"/>
            </w:pPr>
            <w:r w:rsidRPr="00AA1058">
              <w:t>1,059,749</w:t>
            </w:r>
          </w:p>
        </w:tc>
        <w:tc>
          <w:tcPr>
            <w:tcW w:w="4111" w:type="dxa"/>
            <w:noWrap/>
            <w:vAlign w:val="center"/>
            <w:hideMark/>
          </w:tcPr>
          <w:p w:rsidR="00E03A8F" w:rsidRPr="001D23C6" w:rsidRDefault="00E03A8F" w:rsidP="001D23C6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Staff Salaries (EGI.eu activity)</w:t>
            </w:r>
            <w:r>
              <w:t xml:space="preserve"> (1)</w:t>
            </w:r>
          </w:p>
        </w:tc>
        <w:tc>
          <w:tcPr>
            <w:tcW w:w="1275" w:type="dxa"/>
            <w:noWrap/>
            <w:vAlign w:val="center"/>
            <w:hideMark/>
          </w:tcPr>
          <w:p w:rsidR="00E03A8F" w:rsidRDefault="00E03A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779,951</w:t>
            </w:r>
          </w:p>
        </w:tc>
      </w:tr>
      <w:tr w:rsidR="004E6BA0" w:rsidRPr="001D23C6" w:rsidTr="009B34E3">
        <w:trPr>
          <w:trHeight w:val="300"/>
        </w:trPr>
        <w:tc>
          <w:tcPr>
            <w:tcW w:w="2660" w:type="dxa"/>
            <w:noWrap/>
            <w:vAlign w:val="center"/>
          </w:tcPr>
          <w:p w:rsidR="004E6BA0" w:rsidRPr="001D23C6" w:rsidRDefault="004E6BA0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4E6BA0" w:rsidRPr="001D23C6" w:rsidRDefault="004E6BA0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4111" w:type="dxa"/>
            <w:noWrap/>
            <w:vAlign w:val="center"/>
          </w:tcPr>
          <w:p w:rsidR="004E6BA0" w:rsidRPr="001D23C6" w:rsidRDefault="004E6BA0" w:rsidP="00BE6A52">
            <w:pPr>
              <w:tabs>
                <w:tab w:val="left" w:pos="3184"/>
                <w:tab w:val="left" w:pos="4716"/>
                <w:tab w:val="left" w:pos="8226"/>
              </w:tabs>
            </w:pPr>
            <w:r>
              <w:t>Staff salaries (Project activity) (2)</w:t>
            </w:r>
          </w:p>
        </w:tc>
        <w:tc>
          <w:tcPr>
            <w:tcW w:w="1275" w:type="dxa"/>
            <w:noWrap/>
          </w:tcPr>
          <w:p w:rsidR="004E6BA0" w:rsidRDefault="004E6BA0">
            <w:pPr>
              <w:jc w:val="right"/>
              <w:rPr>
                <w:color w:val="000000"/>
              </w:rPr>
            </w:pPr>
            <w:r w:rsidRPr="008705BB">
              <w:t>721,987</w:t>
            </w:r>
          </w:p>
        </w:tc>
      </w:tr>
      <w:tr w:rsidR="004E6BA0" w:rsidRPr="001D23C6" w:rsidTr="009B34E3">
        <w:trPr>
          <w:trHeight w:val="300"/>
        </w:trPr>
        <w:tc>
          <w:tcPr>
            <w:tcW w:w="2660" w:type="dxa"/>
            <w:noWrap/>
            <w:vAlign w:val="center"/>
          </w:tcPr>
          <w:p w:rsidR="004E6BA0" w:rsidRPr="001D23C6" w:rsidRDefault="004E6BA0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4E6BA0" w:rsidRPr="001D23C6" w:rsidRDefault="004E6BA0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4111" w:type="dxa"/>
            <w:noWrap/>
            <w:vAlign w:val="center"/>
          </w:tcPr>
          <w:p w:rsidR="004E6BA0" w:rsidRDefault="004E6BA0" w:rsidP="00BE6A52">
            <w:pPr>
              <w:tabs>
                <w:tab w:val="left" w:pos="3184"/>
                <w:tab w:val="left" w:pos="4716"/>
                <w:tab w:val="left" w:pos="8226"/>
              </w:tabs>
            </w:pPr>
            <w:r>
              <w:t>Staff salaries (Project unfunded) (3)</w:t>
            </w:r>
          </w:p>
        </w:tc>
        <w:tc>
          <w:tcPr>
            <w:tcW w:w="1275" w:type="dxa"/>
            <w:noWrap/>
          </w:tcPr>
          <w:p w:rsidR="004E6BA0" w:rsidRDefault="004E6BA0">
            <w:pPr>
              <w:jc w:val="right"/>
              <w:rPr>
                <w:color w:val="000000"/>
              </w:rPr>
            </w:pPr>
            <w:r w:rsidRPr="008705BB">
              <w:t>39,598</w:t>
            </w:r>
          </w:p>
        </w:tc>
      </w:tr>
      <w:tr w:rsidR="0058246A" w:rsidRPr="001D23C6" w:rsidTr="009B34E3">
        <w:trPr>
          <w:trHeight w:val="300"/>
        </w:trPr>
        <w:tc>
          <w:tcPr>
            <w:tcW w:w="2660" w:type="dxa"/>
            <w:noWrap/>
            <w:vAlign w:val="center"/>
            <w:hideMark/>
          </w:tcPr>
          <w:p w:rsidR="00D601E9" w:rsidRPr="001D23C6" w:rsidRDefault="00D601E9" w:rsidP="00A21A35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 xml:space="preserve">EGI.eu Participants </w:t>
            </w:r>
          </w:p>
        </w:tc>
        <w:tc>
          <w:tcPr>
            <w:tcW w:w="1134" w:type="dxa"/>
            <w:noWrap/>
            <w:vAlign w:val="center"/>
            <w:hideMark/>
          </w:tcPr>
          <w:p w:rsidR="00D601E9" w:rsidRPr="001D23C6" w:rsidRDefault="00D601E9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  <w:r w:rsidRPr="001D23C6">
              <w:t>1,</w:t>
            </w:r>
            <w:r w:rsidR="0058246A">
              <w:t>250</w:t>
            </w:r>
            <w:r w:rsidRPr="001D23C6">
              <w:t>,000</w:t>
            </w:r>
          </w:p>
        </w:tc>
        <w:tc>
          <w:tcPr>
            <w:tcW w:w="4111" w:type="dxa"/>
            <w:noWrap/>
            <w:vAlign w:val="center"/>
            <w:hideMark/>
          </w:tcPr>
          <w:p w:rsidR="00D601E9" w:rsidRPr="001D23C6" w:rsidRDefault="00BB22C2" w:rsidP="00BB22C2">
            <w:pPr>
              <w:tabs>
                <w:tab w:val="left" w:pos="3184"/>
                <w:tab w:val="left" w:pos="4716"/>
                <w:tab w:val="left" w:pos="8226"/>
              </w:tabs>
            </w:pPr>
            <w:r>
              <w:t xml:space="preserve">EGI Global Tasks &amp; </w:t>
            </w:r>
            <w:r w:rsidR="003265C1">
              <w:t xml:space="preserve">EGI </w:t>
            </w:r>
            <w:r>
              <w:t>Core Activities</w:t>
            </w:r>
            <w:r w:rsidR="00D601E9">
              <w:t xml:space="preserve"> (4)</w:t>
            </w:r>
          </w:p>
        </w:tc>
        <w:tc>
          <w:tcPr>
            <w:tcW w:w="1275" w:type="dxa"/>
            <w:noWrap/>
            <w:vAlign w:val="center"/>
            <w:hideMark/>
          </w:tcPr>
          <w:p w:rsidR="00D601E9" w:rsidRDefault="004E6BA0" w:rsidP="00283BC8">
            <w:pPr>
              <w:jc w:val="right"/>
              <w:rPr>
                <w:color w:val="000000"/>
              </w:rPr>
            </w:pPr>
            <w:r w:rsidRPr="004E6BA0">
              <w:rPr>
                <w:color w:val="000000"/>
              </w:rPr>
              <w:t>492,390</w:t>
            </w:r>
          </w:p>
        </w:tc>
      </w:tr>
      <w:tr w:rsidR="0058246A" w:rsidRPr="001D23C6" w:rsidTr="009B34E3">
        <w:trPr>
          <w:trHeight w:val="300"/>
        </w:trPr>
        <w:tc>
          <w:tcPr>
            <w:tcW w:w="2660" w:type="dxa"/>
            <w:noWrap/>
            <w:vAlign w:val="center"/>
          </w:tcPr>
          <w:p w:rsidR="001D23C6" w:rsidRPr="001D23C6" w:rsidRDefault="001D23C6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1D23C6" w:rsidRPr="001D23C6" w:rsidRDefault="001D23C6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4111" w:type="dxa"/>
            <w:noWrap/>
            <w:vAlign w:val="center"/>
            <w:hideMark/>
          </w:tcPr>
          <w:p w:rsidR="001D23C6" w:rsidRPr="001D23C6" w:rsidRDefault="001D23C6" w:rsidP="001D23C6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Office Costs</w:t>
            </w:r>
          </w:p>
        </w:tc>
        <w:tc>
          <w:tcPr>
            <w:tcW w:w="1275" w:type="dxa"/>
            <w:noWrap/>
            <w:vAlign w:val="center"/>
            <w:hideMark/>
          </w:tcPr>
          <w:p w:rsidR="001D23C6" w:rsidRPr="001D23C6" w:rsidRDefault="0084364A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  <w:r w:rsidRPr="0084364A">
              <w:t>275,798</w:t>
            </w:r>
          </w:p>
        </w:tc>
      </w:tr>
      <w:tr w:rsidR="004E6BA0" w:rsidRPr="00D27758" w:rsidTr="009B34E3">
        <w:trPr>
          <w:trHeight w:val="300"/>
        </w:trPr>
        <w:tc>
          <w:tcPr>
            <w:tcW w:w="2660" w:type="dxa"/>
            <w:noWrap/>
            <w:vAlign w:val="center"/>
            <w:hideMark/>
          </w:tcPr>
          <w:p w:rsidR="004E6BA0" w:rsidRPr="007014A2" w:rsidRDefault="004E6BA0" w:rsidP="00331BC5">
            <w:pPr>
              <w:tabs>
                <w:tab w:val="left" w:pos="3184"/>
                <w:tab w:val="left" w:pos="4716"/>
                <w:tab w:val="left" w:pos="8226"/>
              </w:tabs>
              <w:rPr>
                <w:b/>
              </w:rPr>
            </w:pPr>
            <w:r w:rsidRPr="007014A2">
              <w:rPr>
                <w:b/>
              </w:rPr>
              <w:t>TOTAL</w:t>
            </w:r>
          </w:p>
        </w:tc>
        <w:tc>
          <w:tcPr>
            <w:tcW w:w="1134" w:type="dxa"/>
            <w:noWrap/>
            <w:vAlign w:val="center"/>
            <w:hideMark/>
          </w:tcPr>
          <w:p w:rsidR="004E6BA0" w:rsidRPr="00E03A8F" w:rsidRDefault="004E6BA0" w:rsidP="0058246A">
            <w:pPr>
              <w:tabs>
                <w:tab w:val="left" w:pos="3184"/>
                <w:tab w:val="left" w:pos="4716"/>
                <w:tab w:val="left" w:pos="8226"/>
              </w:tabs>
              <w:jc w:val="right"/>
              <w:rPr>
                <w:b/>
              </w:rPr>
            </w:pPr>
            <w:r w:rsidRPr="00E03A8F">
              <w:rPr>
                <w:b/>
              </w:rPr>
              <w:t>2,</w:t>
            </w:r>
            <w:r>
              <w:rPr>
                <w:b/>
              </w:rPr>
              <w:t>309,749</w:t>
            </w:r>
          </w:p>
        </w:tc>
        <w:tc>
          <w:tcPr>
            <w:tcW w:w="4111" w:type="dxa"/>
            <w:noWrap/>
            <w:vAlign w:val="center"/>
            <w:hideMark/>
          </w:tcPr>
          <w:p w:rsidR="004E6BA0" w:rsidRPr="00D601E9" w:rsidRDefault="004E6BA0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275" w:type="dxa"/>
            <w:noWrap/>
          </w:tcPr>
          <w:p w:rsidR="004E6BA0" w:rsidRDefault="004E6BA0" w:rsidP="00283B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7BD2">
              <w:t>2,309,724</w:t>
            </w:r>
          </w:p>
        </w:tc>
      </w:tr>
      <w:tr w:rsidR="004E6BA0" w:rsidRPr="001D23C6" w:rsidTr="009B34E3">
        <w:trPr>
          <w:trHeight w:val="300"/>
        </w:trPr>
        <w:tc>
          <w:tcPr>
            <w:tcW w:w="2660" w:type="dxa"/>
            <w:noWrap/>
            <w:vAlign w:val="center"/>
          </w:tcPr>
          <w:p w:rsidR="004E6BA0" w:rsidRPr="001D23C6" w:rsidRDefault="004E6BA0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4E6BA0" w:rsidRPr="001D23C6" w:rsidRDefault="004E6BA0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4111" w:type="dxa"/>
            <w:noWrap/>
            <w:vAlign w:val="center"/>
            <w:hideMark/>
          </w:tcPr>
          <w:p w:rsidR="004E6BA0" w:rsidRPr="001D23C6" w:rsidRDefault="004E6BA0" w:rsidP="00737D1B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 xml:space="preserve">Projected surplus </w:t>
            </w:r>
            <w:r>
              <w:t>FY2014</w:t>
            </w:r>
          </w:p>
        </w:tc>
        <w:tc>
          <w:tcPr>
            <w:tcW w:w="1275" w:type="dxa"/>
            <w:noWrap/>
          </w:tcPr>
          <w:p w:rsidR="004E6BA0" w:rsidRDefault="004E6BA0" w:rsidP="00283BC8">
            <w:pPr>
              <w:jc w:val="right"/>
              <w:rPr>
                <w:color w:val="000000"/>
              </w:rPr>
            </w:pPr>
            <w:r w:rsidRPr="00C67BD2">
              <w:t>25</w:t>
            </w:r>
          </w:p>
        </w:tc>
      </w:tr>
      <w:tr w:rsidR="004E6BA0" w:rsidRPr="001D23C6" w:rsidTr="009B34E3">
        <w:trPr>
          <w:trHeight w:val="300"/>
        </w:trPr>
        <w:tc>
          <w:tcPr>
            <w:tcW w:w="2660" w:type="dxa"/>
            <w:noWrap/>
            <w:vAlign w:val="center"/>
          </w:tcPr>
          <w:p w:rsidR="004E6BA0" w:rsidRPr="001D23C6" w:rsidRDefault="004E6BA0" w:rsidP="001D23C6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4E6BA0" w:rsidRPr="001D23C6" w:rsidRDefault="004E6BA0" w:rsidP="0084364A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4111" w:type="dxa"/>
            <w:noWrap/>
            <w:vAlign w:val="center"/>
            <w:hideMark/>
          </w:tcPr>
          <w:p w:rsidR="004E6BA0" w:rsidRPr="001D23C6" w:rsidRDefault="004E6BA0" w:rsidP="001D23C6">
            <w:pPr>
              <w:tabs>
                <w:tab w:val="left" w:pos="3184"/>
                <w:tab w:val="left" w:pos="4716"/>
                <w:tab w:val="left" w:pos="8226"/>
              </w:tabs>
            </w:pPr>
            <w:r>
              <w:t>Projected Balance (31/12/14</w:t>
            </w:r>
            <w:r w:rsidRPr="001D23C6">
              <w:t>)</w:t>
            </w:r>
          </w:p>
        </w:tc>
        <w:tc>
          <w:tcPr>
            <w:tcW w:w="1275" w:type="dxa"/>
            <w:noWrap/>
          </w:tcPr>
          <w:p w:rsidR="004E6BA0" w:rsidRDefault="004E6BA0" w:rsidP="00283BC8">
            <w:pPr>
              <w:jc w:val="right"/>
              <w:rPr>
                <w:color w:val="000000"/>
              </w:rPr>
            </w:pPr>
            <w:r w:rsidRPr="00C67BD2">
              <w:t>1,330,721</w:t>
            </w:r>
          </w:p>
        </w:tc>
      </w:tr>
    </w:tbl>
    <w:p w:rsidR="00B07DC7" w:rsidRDefault="00B07DC7" w:rsidP="00A8018B">
      <w:r>
        <w:t>Notes:</w:t>
      </w:r>
    </w:p>
    <w:p w:rsidR="00BE6A52" w:rsidRDefault="00BE6A52" w:rsidP="00B07DC7">
      <w:pPr>
        <w:pStyle w:val="ListParagraph"/>
        <w:numPr>
          <w:ilvl w:val="0"/>
          <w:numId w:val="11"/>
        </w:numPr>
      </w:pPr>
      <w:r>
        <w:t>9</w:t>
      </w:r>
      <w:r w:rsidR="00202852">
        <w:t>.0</w:t>
      </w:r>
      <w:r w:rsidR="00E50E96">
        <w:t xml:space="preserve"> FTE</w:t>
      </w:r>
      <w:r w:rsidR="00BB22C2">
        <w:t xml:space="preserve"> of the Core team employed for the whole year.</w:t>
      </w:r>
    </w:p>
    <w:p w:rsidR="00B07DC7" w:rsidRDefault="009B34E3" w:rsidP="00B07DC7">
      <w:pPr>
        <w:pStyle w:val="ListParagraph"/>
        <w:numPr>
          <w:ilvl w:val="0"/>
          <w:numId w:val="11"/>
        </w:numPr>
      </w:pPr>
      <w:r>
        <w:t>10.1</w:t>
      </w:r>
      <w:r w:rsidR="00BE6A52">
        <w:t xml:space="preserve"> FTE</w:t>
      </w:r>
      <w:r w:rsidR="00E50E96">
        <w:t xml:space="preserve"> of the Project team</w:t>
      </w:r>
      <w:r w:rsidR="00202852">
        <w:t xml:space="preserve"> that are funded directly by projects</w:t>
      </w:r>
      <w:r w:rsidR="00BB22C2">
        <w:t xml:space="preserve"> – some of which may finish during 2014 (e.g. EGI-</w:t>
      </w:r>
      <w:proofErr w:type="spellStart"/>
      <w:r w:rsidR="00BB22C2">
        <w:t>InSPIRE</w:t>
      </w:r>
      <w:proofErr w:type="spellEnd"/>
      <w:r w:rsidR="00BB22C2">
        <w:t>)</w:t>
      </w:r>
      <w:r w:rsidR="00202852">
        <w:t>.</w:t>
      </w:r>
    </w:p>
    <w:p w:rsidR="00202852" w:rsidRDefault="009B34E3" w:rsidP="00202852">
      <w:pPr>
        <w:pStyle w:val="ListParagraph"/>
        <w:numPr>
          <w:ilvl w:val="0"/>
          <w:numId w:val="11"/>
        </w:numPr>
      </w:pPr>
      <w:r>
        <w:t>0.5</w:t>
      </w:r>
      <w:r w:rsidR="00202852">
        <w:t xml:space="preserve"> FTE of the Project team whose project funding ends during 2014 and should be retained in case the first wave of Horizon 2020 projects are delayed.</w:t>
      </w:r>
    </w:p>
    <w:p w:rsidR="00B11F13" w:rsidRDefault="00202852" w:rsidP="00B07DC7">
      <w:pPr>
        <w:pStyle w:val="ListParagraph"/>
        <w:numPr>
          <w:ilvl w:val="0"/>
          <w:numId w:val="11"/>
        </w:numPr>
      </w:pPr>
      <w:r w:rsidRPr="001D23C6">
        <w:t xml:space="preserve">Subsidy for EGI Global Tasks </w:t>
      </w:r>
      <w:r w:rsidR="00B11F13">
        <w:t>funded under the EGI-</w:t>
      </w:r>
      <w:proofErr w:type="spellStart"/>
      <w:r w:rsidR="00B11F13">
        <w:t>InSPIRE</w:t>
      </w:r>
      <w:proofErr w:type="spellEnd"/>
      <w:r w:rsidR="00B11F13">
        <w:t xml:space="preserve"> model until the end of April 2014 (€</w:t>
      </w:r>
      <w:r w:rsidR="00D27758">
        <w:t>233,723</w:t>
      </w:r>
      <w:r w:rsidR="00B11F13">
        <w:t>) and the Core EGI Activities as proposed to the EGI Council that run for 8 months from 1</w:t>
      </w:r>
      <w:r w:rsidR="00B11F13" w:rsidRPr="00B11F13">
        <w:rPr>
          <w:vertAlign w:val="superscript"/>
        </w:rPr>
        <w:t>st</w:t>
      </w:r>
      <w:r w:rsidR="0058246A">
        <w:t xml:space="preserve"> May 2014 (€</w:t>
      </w:r>
      <w:r w:rsidR="004E6BA0">
        <w:t>258,666</w:t>
      </w:r>
      <w:r w:rsidR="00B11F13">
        <w:t xml:space="preserve"> equivalent to €</w:t>
      </w:r>
      <w:r w:rsidR="0058246A">
        <w:t>400</w:t>
      </w:r>
      <w:r w:rsidR="00BB22C2">
        <w:t>,000</w:t>
      </w:r>
      <w:r w:rsidR="00B11F13">
        <w:t xml:space="preserve"> a year</w:t>
      </w:r>
      <w:r w:rsidR="00283BC8">
        <w:t xml:space="preserve"> with 25% EGI.eu co-funding</w:t>
      </w:r>
      <w:r w:rsidR="00B11F13">
        <w:t>)</w:t>
      </w:r>
    </w:p>
    <w:p w:rsidR="00AB3AD5" w:rsidRDefault="00AB3AD5" w:rsidP="00AB3AD5">
      <w:pPr>
        <w:pStyle w:val="Heading1"/>
      </w:pPr>
      <w:r>
        <w:t>Projected Balance FY2015</w:t>
      </w:r>
    </w:p>
    <w:p w:rsidR="00AB3AD5" w:rsidRPr="00FD66CC" w:rsidRDefault="00AB3AD5" w:rsidP="00AB3AD5">
      <w:r>
        <w:t>Assuming in 2015 that EGI.eu has no project income</w:t>
      </w:r>
      <w:r w:rsidR="003265C1">
        <w:t>,</w:t>
      </w:r>
      <w:r>
        <w:t xml:space="preserve"> the forecast for FY2015 would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3510"/>
        <w:gridCol w:w="1193"/>
      </w:tblGrid>
      <w:tr w:rsidR="00AB3AD5" w:rsidRPr="001D23C6" w:rsidTr="00C242CB">
        <w:trPr>
          <w:trHeight w:val="300"/>
        </w:trPr>
        <w:tc>
          <w:tcPr>
            <w:tcW w:w="2943" w:type="dxa"/>
            <w:noWrap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</w:tcPr>
          <w:p w:rsidR="00AB3AD5" w:rsidRPr="00737D1B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jc w:val="center"/>
              <w:rPr>
                <w:b/>
              </w:rPr>
            </w:pPr>
            <w:r w:rsidRPr="00737D1B">
              <w:rPr>
                <w:b/>
              </w:rPr>
              <w:t>Budget 201</w:t>
            </w:r>
            <w:r>
              <w:rPr>
                <w:b/>
              </w:rPr>
              <w:t>5 (€)</w:t>
            </w:r>
          </w:p>
        </w:tc>
        <w:tc>
          <w:tcPr>
            <w:tcW w:w="3510" w:type="dxa"/>
            <w:noWrap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93" w:type="dxa"/>
            <w:noWrap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jc w:val="center"/>
            </w:pPr>
            <w:r w:rsidRPr="00737D1B">
              <w:rPr>
                <w:b/>
              </w:rPr>
              <w:t>Budget 201</w:t>
            </w:r>
            <w:r>
              <w:rPr>
                <w:b/>
              </w:rPr>
              <w:t>5 (€)</w:t>
            </w:r>
          </w:p>
        </w:tc>
      </w:tr>
      <w:tr w:rsidR="00AB3AD5" w:rsidRPr="001D23C6" w:rsidTr="00C242CB">
        <w:trPr>
          <w:trHeight w:val="300"/>
        </w:trPr>
        <w:tc>
          <w:tcPr>
            <w:tcW w:w="2943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Projected</w:t>
            </w:r>
            <w:r>
              <w:t xml:space="preserve"> Balance (1</w:t>
            </w:r>
            <w:r w:rsidRPr="001D23C6">
              <w:t>/1</w:t>
            </w:r>
            <w:r>
              <w:t>/15</w:t>
            </w:r>
            <w:r w:rsidRPr="001D23C6">
              <w:t>)</w:t>
            </w:r>
            <w:r>
              <w:t>(1)</w:t>
            </w:r>
          </w:p>
        </w:tc>
        <w:tc>
          <w:tcPr>
            <w:tcW w:w="1134" w:type="dxa"/>
            <w:noWrap/>
            <w:vAlign w:val="center"/>
            <w:hideMark/>
          </w:tcPr>
          <w:p w:rsidR="00AB3AD5" w:rsidRPr="009C0095" w:rsidRDefault="004E6BA0" w:rsidP="00283BC8">
            <w:pPr>
              <w:jc w:val="right"/>
              <w:rPr>
                <w:color w:val="000000"/>
              </w:rPr>
            </w:pPr>
            <w:r w:rsidRPr="004E6BA0">
              <w:rPr>
                <w:color w:val="000000"/>
              </w:rPr>
              <w:t>1,085,227</w:t>
            </w:r>
          </w:p>
        </w:tc>
        <w:tc>
          <w:tcPr>
            <w:tcW w:w="3510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93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</w:tr>
      <w:tr w:rsidR="00AB3AD5" w:rsidRPr="001D23C6" w:rsidTr="00C242CB">
        <w:trPr>
          <w:trHeight w:val="300"/>
        </w:trPr>
        <w:tc>
          <w:tcPr>
            <w:tcW w:w="2943" w:type="dxa"/>
            <w:noWrap/>
            <w:vAlign w:val="center"/>
            <w:hideMark/>
          </w:tcPr>
          <w:p w:rsidR="00AB3AD5" w:rsidRPr="00A8018B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rPr>
                <w:b/>
              </w:rPr>
            </w:pPr>
            <w:r w:rsidRPr="00A8018B">
              <w:rPr>
                <w:b/>
              </w:rPr>
              <w:t>Income</w:t>
            </w:r>
          </w:p>
        </w:tc>
        <w:tc>
          <w:tcPr>
            <w:tcW w:w="1134" w:type="dxa"/>
            <w:noWrap/>
            <w:vAlign w:val="center"/>
            <w:hideMark/>
          </w:tcPr>
          <w:p w:rsidR="00AB3AD5" w:rsidRPr="00AA1058" w:rsidRDefault="00AB3AD5" w:rsidP="00C242CB">
            <w:pPr>
              <w:jc w:val="right"/>
            </w:pPr>
          </w:p>
        </w:tc>
        <w:tc>
          <w:tcPr>
            <w:tcW w:w="3510" w:type="dxa"/>
            <w:noWrap/>
            <w:vAlign w:val="center"/>
            <w:hideMark/>
          </w:tcPr>
          <w:p w:rsidR="00AB3AD5" w:rsidRPr="00A8018B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rPr>
                <w:b/>
              </w:rPr>
            </w:pPr>
            <w:r w:rsidRPr="00A8018B">
              <w:rPr>
                <w:b/>
              </w:rPr>
              <w:t>Expenditure</w:t>
            </w:r>
          </w:p>
        </w:tc>
        <w:tc>
          <w:tcPr>
            <w:tcW w:w="1193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</w:tr>
      <w:tr w:rsidR="00AB3AD5" w:rsidRPr="001D23C6" w:rsidTr="00C242CB">
        <w:trPr>
          <w:trHeight w:val="300"/>
        </w:trPr>
        <w:tc>
          <w:tcPr>
            <w:tcW w:w="2943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EC Projects</w:t>
            </w:r>
          </w:p>
        </w:tc>
        <w:tc>
          <w:tcPr>
            <w:tcW w:w="1134" w:type="dxa"/>
            <w:noWrap/>
            <w:vAlign w:val="center"/>
            <w:hideMark/>
          </w:tcPr>
          <w:p w:rsidR="00AB3AD5" w:rsidRDefault="00AB3AD5" w:rsidP="00AB3AD5">
            <w:pPr>
              <w:jc w:val="right"/>
            </w:pPr>
            <w:r>
              <w:t>0</w:t>
            </w:r>
          </w:p>
        </w:tc>
        <w:tc>
          <w:tcPr>
            <w:tcW w:w="3510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Staff Salaries (EGI.eu activity)</w:t>
            </w:r>
            <w:r>
              <w:t xml:space="preserve"> (1)</w:t>
            </w:r>
          </w:p>
        </w:tc>
        <w:tc>
          <w:tcPr>
            <w:tcW w:w="1193" w:type="dxa"/>
            <w:noWrap/>
            <w:vAlign w:val="center"/>
            <w:hideMark/>
          </w:tcPr>
          <w:p w:rsidR="00AB3AD5" w:rsidRDefault="004148C8" w:rsidP="00414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819,436</w:t>
            </w:r>
          </w:p>
        </w:tc>
      </w:tr>
      <w:tr w:rsidR="00AB3AD5" w:rsidRPr="001D23C6" w:rsidTr="00C242CB">
        <w:trPr>
          <w:trHeight w:val="300"/>
        </w:trPr>
        <w:tc>
          <w:tcPr>
            <w:tcW w:w="2943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 xml:space="preserve">EGI.eu Participants </w:t>
            </w:r>
          </w:p>
        </w:tc>
        <w:tc>
          <w:tcPr>
            <w:tcW w:w="1134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  <w:r w:rsidRPr="001D23C6">
              <w:t>1,</w:t>
            </w:r>
            <w:r w:rsidR="00283BC8">
              <w:t>25</w:t>
            </w:r>
            <w:r>
              <w:t>0</w:t>
            </w:r>
            <w:r w:rsidRPr="001D23C6">
              <w:t>,000</w:t>
            </w:r>
          </w:p>
        </w:tc>
        <w:tc>
          <w:tcPr>
            <w:tcW w:w="3510" w:type="dxa"/>
            <w:noWrap/>
            <w:vAlign w:val="center"/>
            <w:hideMark/>
          </w:tcPr>
          <w:p w:rsidR="00AB3AD5" w:rsidRPr="001D23C6" w:rsidRDefault="00AB3AD5" w:rsidP="009F6000">
            <w:pPr>
              <w:tabs>
                <w:tab w:val="left" w:pos="3184"/>
                <w:tab w:val="left" w:pos="4716"/>
                <w:tab w:val="left" w:pos="8226"/>
              </w:tabs>
            </w:pPr>
            <w:r>
              <w:t>Core EGI Activities Subsidy</w:t>
            </w:r>
          </w:p>
        </w:tc>
        <w:tc>
          <w:tcPr>
            <w:tcW w:w="1193" w:type="dxa"/>
            <w:noWrap/>
            <w:vAlign w:val="center"/>
            <w:hideMark/>
          </w:tcPr>
          <w:p w:rsidR="00AB3AD5" w:rsidRDefault="00283BC8" w:rsidP="00C242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B3AD5">
              <w:rPr>
                <w:color w:val="000000"/>
              </w:rPr>
              <w:t>00,000</w:t>
            </w:r>
          </w:p>
        </w:tc>
      </w:tr>
      <w:tr w:rsidR="00AB3AD5" w:rsidRPr="001D23C6" w:rsidTr="00C242CB">
        <w:trPr>
          <w:trHeight w:val="300"/>
        </w:trPr>
        <w:tc>
          <w:tcPr>
            <w:tcW w:w="2943" w:type="dxa"/>
            <w:noWrap/>
            <w:vAlign w:val="center"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3510" w:type="dxa"/>
            <w:noWrap/>
            <w:vAlign w:val="center"/>
            <w:hideMark/>
          </w:tcPr>
          <w:p w:rsidR="00AB3AD5" w:rsidRPr="001D23C6" w:rsidRDefault="00AB3AD5" w:rsidP="00C242CB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>Office Costs</w:t>
            </w:r>
            <w:r w:rsidR="009F6000">
              <w:t xml:space="preserve"> (3)</w:t>
            </w:r>
          </w:p>
        </w:tc>
        <w:tc>
          <w:tcPr>
            <w:tcW w:w="1193" w:type="dxa"/>
            <w:noWrap/>
            <w:vAlign w:val="center"/>
            <w:hideMark/>
          </w:tcPr>
          <w:p w:rsidR="00AB3AD5" w:rsidRPr="001D23C6" w:rsidRDefault="00AB3AD5" w:rsidP="00AB3AD5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  <w:r>
              <w:t>148</w:t>
            </w:r>
            <w:r w:rsidRPr="0084364A">
              <w:t>,</w:t>
            </w:r>
            <w:r>
              <w:t>000</w:t>
            </w:r>
          </w:p>
        </w:tc>
      </w:tr>
      <w:tr w:rsidR="004148C8" w:rsidRPr="00D27758" w:rsidTr="009C0095">
        <w:trPr>
          <w:trHeight w:val="300"/>
        </w:trPr>
        <w:tc>
          <w:tcPr>
            <w:tcW w:w="2943" w:type="dxa"/>
            <w:noWrap/>
            <w:vAlign w:val="center"/>
            <w:hideMark/>
          </w:tcPr>
          <w:p w:rsidR="004148C8" w:rsidRPr="007014A2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  <w:rPr>
                <w:b/>
              </w:rPr>
            </w:pPr>
            <w:r w:rsidRPr="007014A2">
              <w:rPr>
                <w:b/>
              </w:rPr>
              <w:t>TOTAL</w:t>
            </w:r>
          </w:p>
        </w:tc>
        <w:tc>
          <w:tcPr>
            <w:tcW w:w="1134" w:type="dxa"/>
            <w:noWrap/>
            <w:vAlign w:val="center"/>
            <w:hideMark/>
          </w:tcPr>
          <w:p w:rsidR="004148C8" w:rsidRPr="004148C8" w:rsidRDefault="004148C8" w:rsidP="00AB3AD5">
            <w:pPr>
              <w:tabs>
                <w:tab w:val="left" w:pos="3184"/>
                <w:tab w:val="left" w:pos="4716"/>
                <w:tab w:val="left" w:pos="8226"/>
              </w:tabs>
              <w:jc w:val="right"/>
              <w:rPr>
                <w:b/>
              </w:rPr>
            </w:pPr>
            <w:r w:rsidRPr="004148C8">
              <w:rPr>
                <w:b/>
              </w:rPr>
              <w:t>1,</w:t>
            </w:r>
            <w:r w:rsidR="00283BC8">
              <w:rPr>
                <w:b/>
              </w:rPr>
              <w:t>25</w:t>
            </w:r>
            <w:r w:rsidRPr="004148C8">
              <w:rPr>
                <w:b/>
              </w:rPr>
              <w:t>0,000</w:t>
            </w:r>
          </w:p>
        </w:tc>
        <w:tc>
          <w:tcPr>
            <w:tcW w:w="3510" w:type="dxa"/>
            <w:noWrap/>
            <w:vAlign w:val="center"/>
            <w:hideMark/>
          </w:tcPr>
          <w:p w:rsidR="004148C8" w:rsidRPr="00D601E9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93" w:type="dxa"/>
            <w:noWrap/>
            <w:vAlign w:val="bottom"/>
          </w:tcPr>
          <w:p w:rsidR="004148C8" w:rsidRDefault="004148C8" w:rsidP="00283B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</w:t>
            </w:r>
            <w:r w:rsidR="00283BC8">
              <w:rPr>
                <w:b/>
                <w:bCs/>
                <w:color w:val="000000"/>
              </w:rPr>
              <w:t>367,436</w:t>
            </w:r>
          </w:p>
        </w:tc>
      </w:tr>
      <w:tr w:rsidR="004148C8" w:rsidRPr="001D23C6" w:rsidTr="009C0095">
        <w:trPr>
          <w:trHeight w:val="300"/>
        </w:trPr>
        <w:tc>
          <w:tcPr>
            <w:tcW w:w="2943" w:type="dxa"/>
            <w:noWrap/>
            <w:vAlign w:val="center"/>
          </w:tcPr>
          <w:p w:rsidR="004148C8" w:rsidRPr="001D23C6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4148C8" w:rsidRPr="001D23C6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3510" w:type="dxa"/>
            <w:noWrap/>
            <w:vAlign w:val="center"/>
            <w:hideMark/>
          </w:tcPr>
          <w:p w:rsidR="004148C8" w:rsidRPr="001D23C6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</w:pPr>
            <w:r w:rsidRPr="001D23C6">
              <w:t xml:space="preserve">Projected surplus </w:t>
            </w:r>
            <w:r>
              <w:t>FY2015</w:t>
            </w:r>
          </w:p>
        </w:tc>
        <w:tc>
          <w:tcPr>
            <w:tcW w:w="1193" w:type="dxa"/>
            <w:noWrap/>
            <w:vAlign w:val="bottom"/>
          </w:tcPr>
          <w:p w:rsidR="004148C8" w:rsidRDefault="004148C8" w:rsidP="00283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83BC8">
              <w:rPr>
                <w:color w:val="000000"/>
              </w:rPr>
              <w:t>117,436</w:t>
            </w:r>
          </w:p>
        </w:tc>
      </w:tr>
      <w:tr w:rsidR="004148C8" w:rsidRPr="001D23C6" w:rsidTr="009C0095">
        <w:trPr>
          <w:trHeight w:val="300"/>
        </w:trPr>
        <w:tc>
          <w:tcPr>
            <w:tcW w:w="2943" w:type="dxa"/>
            <w:noWrap/>
            <w:vAlign w:val="center"/>
          </w:tcPr>
          <w:p w:rsidR="004148C8" w:rsidRPr="001D23C6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</w:pPr>
          </w:p>
        </w:tc>
        <w:tc>
          <w:tcPr>
            <w:tcW w:w="1134" w:type="dxa"/>
            <w:noWrap/>
            <w:vAlign w:val="center"/>
          </w:tcPr>
          <w:p w:rsidR="004148C8" w:rsidRPr="001D23C6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  <w:jc w:val="right"/>
            </w:pPr>
          </w:p>
        </w:tc>
        <w:tc>
          <w:tcPr>
            <w:tcW w:w="3510" w:type="dxa"/>
            <w:noWrap/>
            <w:vAlign w:val="center"/>
            <w:hideMark/>
          </w:tcPr>
          <w:p w:rsidR="004148C8" w:rsidRPr="001D23C6" w:rsidRDefault="004148C8" w:rsidP="00C242CB">
            <w:pPr>
              <w:tabs>
                <w:tab w:val="left" w:pos="3184"/>
                <w:tab w:val="left" w:pos="4716"/>
                <w:tab w:val="left" w:pos="8226"/>
              </w:tabs>
            </w:pPr>
            <w:r>
              <w:t>Projected Balance (31/12/15</w:t>
            </w:r>
            <w:r w:rsidRPr="001D23C6">
              <w:t>)</w:t>
            </w:r>
          </w:p>
        </w:tc>
        <w:tc>
          <w:tcPr>
            <w:tcW w:w="1193" w:type="dxa"/>
            <w:noWrap/>
            <w:vAlign w:val="bottom"/>
          </w:tcPr>
          <w:p w:rsidR="004148C8" w:rsidRDefault="00283BC8" w:rsidP="00283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974,811</w:t>
            </w:r>
          </w:p>
        </w:tc>
      </w:tr>
    </w:tbl>
    <w:p w:rsidR="00AB3AD5" w:rsidRDefault="00AB3AD5" w:rsidP="00AB3AD5">
      <w:r>
        <w:t>Notes:</w:t>
      </w:r>
    </w:p>
    <w:p w:rsidR="00AB3AD5" w:rsidRDefault="00AB3AD5" w:rsidP="004E6BA0">
      <w:pPr>
        <w:pStyle w:val="ListParagraph"/>
        <w:numPr>
          <w:ilvl w:val="0"/>
          <w:numId w:val="12"/>
        </w:numPr>
      </w:pPr>
      <w:r>
        <w:t>Including redundancy costs of €</w:t>
      </w:r>
      <w:r w:rsidR="004E6BA0" w:rsidRPr="004E6BA0">
        <w:t xml:space="preserve"> 245,495 </w:t>
      </w:r>
      <w:r>
        <w:t>for releasing indefinite contract staff that had been working on projects.</w:t>
      </w:r>
    </w:p>
    <w:p w:rsidR="00AB3AD5" w:rsidRDefault="00AB3AD5" w:rsidP="00AB3AD5">
      <w:pPr>
        <w:pStyle w:val="ListParagraph"/>
        <w:numPr>
          <w:ilvl w:val="0"/>
          <w:numId w:val="12"/>
        </w:numPr>
      </w:pPr>
      <w:r>
        <w:t>9.0 FTE of the Core team adjusted for 2.5% inflation and 2.5% annual increment.</w:t>
      </w:r>
    </w:p>
    <w:p w:rsidR="009F6000" w:rsidRDefault="009F6000" w:rsidP="00AB3AD5">
      <w:pPr>
        <w:pStyle w:val="ListParagraph"/>
        <w:numPr>
          <w:ilvl w:val="0"/>
          <w:numId w:val="12"/>
        </w:numPr>
      </w:pPr>
      <w:r>
        <w:t xml:space="preserve">Office costs estimated for 9FTEs instead of </w:t>
      </w:r>
      <w:r w:rsidR="003D05E8">
        <w:t>19.6 FTEs in 2014</w:t>
      </w:r>
      <w:r>
        <w:t>.</w:t>
      </w:r>
    </w:p>
    <w:p w:rsidR="00690A7C" w:rsidRDefault="00690A7C" w:rsidP="00A4687A">
      <w:pPr>
        <w:pStyle w:val="Heading1"/>
      </w:pPr>
      <w:r>
        <w:lastRenderedPageBreak/>
        <w:t xml:space="preserve">Appendix A: </w:t>
      </w:r>
      <w:r w:rsidR="00CD10BD">
        <w:t>Proposed Participation fees 2014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324"/>
        <w:gridCol w:w="1190"/>
      </w:tblGrid>
      <w:tr w:rsidR="00CB70A9" w:rsidRPr="00737D1B" w:rsidTr="002E3CC3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Participant</w:t>
            </w:r>
          </w:p>
        </w:tc>
        <w:tc>
          <w:tcPr>
            <w:tcW w:w="1324" w:type="dxa"/>
            <w:tcBorders>
              <w:top w:val="single" w:sz="18" w:space="0" w:color="auto"/>
            </w:tcBorders>
            <w:vAlign w:val="bottom"/>
          </w:tcPr>
          <w:p w:rsidR="00CB70A9" w:rsidRPr="00737D1B" w:rsidRDefault="00CB70A9" w:rsidP="00CD10B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Votes</w:t>
            </w:r>
          </w:p>
        </w:tc>
        <w:tc>
          <w:tcPr>
            <w:tcW w:w="1190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CB70A9" w:rsidRPr="00737D1B" w:rsidRDefault="00CB70A9" w:rsidP="00CD10B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Amount (€)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18" w:space="0" w:color="auto"/>
            </w:tcBorders>
            <w:vAlign w:val="bottom"/>
          </w:tcPr>
          <w:p w:rsidR="00CB70A9" w:rsidRPr="00737D1B" w:rsidRDefault="00CD10BD" w:rsidP="00CD10B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9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CB70A9" w:rsidRPr="00737D1B" w:rsidRDefault="00CD10BD" w:rsidP="00CD10B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173.630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173.630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86.815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86.815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86.815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86.815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65.111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65.111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65.111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32.651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32.651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21.704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21.704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21.704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10.852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10.852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8.681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JINR (</w:t>
            </w:r>
            <w:r w:rsidR="00CB70A9" w:rsidRPr="00737D1B">
              <w:rPr>
                <w:rFonts w:cs="Calibri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(10)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8.139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HEPFY-OAW (Austria)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 (10)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8.139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CERN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</w:tr>
      <w:tr w:rsidR="00CB70A9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1324" w:type="dxa"/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B70A9" w:rsidRPr="00737D1B" w:rsidRDefault="00CB70A9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EMBL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F6000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4.341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Bosnia &amp; Herzegovina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3.256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3.256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3.256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1.633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1.633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IIAP (</w:t>
            </w:r>
            <w:r w:rsidRPr="00737D1B">
              <w:rPr>
                <w:rFonts w:cs="Calibri"/>
                <w:color w:val="000000"/>
                <w:sz w:val="20"/>
                <w:szCs w:val="20"/>
              </w:rPr>
              <w:t>Armenia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(2)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1.225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RENAM (</w:t>
            </w:r>
            <w:r w:rsidRPr="00737D1B">
              <w:rPr>
                <w:rFonts w:cs="Calibri"/>
                <w:color w:val="000000"/>
                <w:sz w:val="20"/>
                <w:szCs w:val="20"/>
              </w:rPr>
              <w:t>Moldova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(2)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1.225</w:t>
            </w:r>
          </w:p>
        </w:tc>
      </w:tr>
      <w:tr w:rsidR="009F6000" w:rsidRPr="00737D1B" w:rsidTr="002E3CC3">
        <w:trPr>
          <w:trHeight w:val="282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(2)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9F6000" w:rsidRPr="00737D1B" w:rsidRDefault="009F6000" w:rsidP="009071B9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9F6000" w:rsidRPr="00737D1B" w:rsidRDefault="009F6000" w:rsidP="003F7DD3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1.</w:t>
            </w:r>
            <w:r w:rsidR="003F7DD3">
              <w:rPr>
                <w:rFonts w:cs="Calibri"/>
                <w:color w:val="000000"/>
                <w:sz w:val="20"/>
                <w:szCs w:val="20"/>
              </w:rPr>
              <w:t>329.836</w:t>
            </w:r>
          </w:p>
        </w:tc>
      </w:tr>
      <w:tr w:rsidR="009F6000" w:rsidRPr="00737D1B" w:rsidTr="002E3CC3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9F6000" w:rsidRPr="00737D1B" w:rsidRDefault="009F6000" w:rsidP="009071B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18" w:space="0" w:color="auto"/>
            </w:tcBorders>
            <w:vAlign w:val="bottom"/>
          </w:tcPr>
          <w:p w:rsidR="009F6000" w:rsidRPr="003F7DD3" w:rsidRDefault="009F6000" w:rsidP="009071B9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7DD3">
              <w:rPr>
                <w:rFonts w:cs="Calibri"/>
                <w:b/>
                <w:color w:val="000000"/>
                <w:sz w:val="20"/>
                <w:szCs w:val="20"/>
              </w:rPr>
              <w:t>Budget 2014</w:t>
            </w:r>
          </w:p>
        </w:tc>
        <w:tc>
          <w:tcPr>
            <w:tcW w:w="119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9F6000" w:rsidRPr="003F7DD3" w:rsidRDefault="009F6000" w:rsidP="009F6000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7DD3">
              <w:rPr>
                <w:rFonts w:cs="Calibri"/>
                <w:b/>
                <w:noProof/>
                <w:color w:val="000000"/>
                <w:sz w:val="20"/>
                <w:szCs w:val="20"/>
              </w:rPr>
              <w:t>1.</w:t>
            </w:r>
            <w:r w:rsidR="003F7DD3" w:rsidRPr="003F7DD3">
              <w:rPr>
                <w:rFonts w:cs="Calibri"/>
                <w:b/>
                <w:noProof/>
                <w:color w:val="000000"/>
                <w:sz w:val="20"/>
                <w:szCs w:val="20"/>
              </w:rPr>
              <w:t>25</w:t>
            </w:r>
            <w:r w:rsidRPr="003F7DD3">
              <w:rPr>
                <w:rFonts w:cs="Calibri"/>
                <w:b/>
                <w:noProof/>
                <w:color w:val="000000"/>
                <w:sz w:val="20"/>
                <w:szCs w:val="20"/>
              </w:rPr>
              <w:t>0.000</w:t>
            </w:r>
          </w:p>
        </w:tc>
      </w:tr>
    </w:tbl>
    <w:p w:rsidR="00C242CB" w:rsidRDefault="00C242CB" w:rsidP="00C242CB">
      <w:pPr>
        <w:rPr>
          <w:rFonts w:ascii="Cambria" w:eastAsia="Times New Roman" w:hAnsi="Cambria"/>
          <w:color w:val="365F91"/>
          <w:sz w:val="28"/>
          <w:szCs w:val="28"/>
        </w:rPr>
      </w:pPr>
      <w:bookmarkStart w:id="1" w:name="_GoBack"/>
      <w:bookmarkEnd w:id="1"/>
      <w:r>
        <w:br w:type="page"/>
      </w:r>
    </w:p>
    <w:p w:rsidR="00C242CB" w:rsidRDefault="00C9126F" w:rsidP="00C242CB">
      <w:pPr>
        <w:pStyle w:val="Heading1"/>
      </w:pPr>
      <w:r>
        <w:lastRenderedPageBreak/>
        <w:t>Appendix B</w:t>
      </w:r>
      <w:r w:rsidR="00C242CB">
        <w:t>: EGI.eu Participation 2010 vs. 2014</w:t>
      </w:r>
    </w:p>
    <w:p w:rsidR="003265C1" w:rsidRPr="003265C1" w:rsidRDefault="003265C1" w:rsidP="003265C1">
      <w:r>
        <w:t xml:space="preserve">Comparison between votes and payments in 2010 and those proposed for 2014. </w:t>
      </w:r>
      <w:proofErr w:type="gramStart"/>
      <w:r>
        <w:t>Countries in bold are those that have retained their initial voting levels since the start of EGI.eu.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324"/>
        <w:gridCol w:w="1190"/>
        <w:gridCol w:w="1190"/>
        <w:gridCol w:w="1190"/>
      </w:tblGrid>
      <w:tr w:rsidR="00C242CB" w:rsidRPr="00737D1B" w:rsidTr="00C242CB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Participant</w:t>
            </w:r>
          </w:p>
        </w:tc>
        <w:tc>
          <w:tcPr>
            <w:tcW w:w="1324" w:type="dxa"/>
            <w:tcBorders>
              <w:top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Votes</w:t>
            </w:r>
          </w:p>
        </w:tc>
        <w:tc>
          <w:tcPr>
            <w:tcW w:w="1190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Amount (€)</w:t>
            </w:r>
          </w:p>
        </w:tc>
        <w:tc>
          <w:tcPr>
            <w:tcW w:w="1190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Votes</w:t>
            </w:r>
          </w:p>
        </w:tc>
        <w:tc>
          <w:tcPr>
            <w:tcW w:w="1190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b/>
                <w:bCs/>
                <w:color w:val="000000"/>
                <w:sz w:val="20"/>
                <w:szCs w:val="20"/>
              </w:rPr>
              <w:t>Amount (€)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9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9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9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173.630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79.880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173.630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79.880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173.630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79.880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86.815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79.880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86.815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86.815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86.815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65.111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29.955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857304">
              <w:rPr>
                <w:rFonts w:cs="Calibri"/>
                <w:sz w:val="20"/>
                <w:szCs w:val="20"/>
              </w:rPr>
              <w:t>65.111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857304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857304">
              <w:rPr>
                <w:rFonts w:cs="Calibri"/>
                <w:sz w:val="20"/>
                <w:szCs w:val="20"/>
              </w:rPr>
              <w:t>59.910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65.111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29.955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3265C1" w:rsidRDefault="00C242CB" w:rsidP="00C242CB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1324" w:type="dxa"/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7304">
              <w:rPr>
                <w:rFonts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43.407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857304" w:rsidRDefault="00C242CB" w:rsidP="00C242CB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857304">
              <w:rPr>
                <w:rFonts w:cs="Calibri"/>
                <w:b/>
                <w:sz w:val="20"/>
                <w:szCs w:val="20"/>
              </w:rPr>
              <w:t>19.970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43.407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32.651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29.955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32.651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29.955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21.704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19.970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21.704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19.970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21.704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19.970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10.852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9.985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10.852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9.985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8.681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9.985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JINR (</w:t>
            </w:r>
            <w:r w:rsidRPr="00737D1B">
              <w:rPr>
                <w:rFonts w:cs="Calibri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(10)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8.139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59.910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HEPFY-OAW (Austria)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 (10)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8.139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39.940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3.994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CERN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4.993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4.993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EMBL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4.341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4.993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4.993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4.341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3.994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Bosnia &amp; Herzegovina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3.256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3.994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3.256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3.994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3.256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3.994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1.633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1.997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Macedonia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1.633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1.997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IIAP (</w:t>
            </w:r>
            <w:r w:rsidRPr="00737D1B">
              <w:rPr>
                <w:rFonts w:cs="Calibri"/>
                <w:color w:val="000000"/>
                <w:sz w:val="20"/>
                <w:szCs w:val="20"/>
              </w:rPr>
              <w:t>Armenia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(2)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1.225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1.498</w:t>
            </w:r>
          </w:p>
        </w:tc>
      </w:tr>
      <w:tr w:rsidR="00C242CB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RENAM (</w:t>
            </w:r>
            <w:r w:rsidRPr="00737D1B">
              <w:rPr>
                <w:rFonts w:cs="Calibri"/>
                <w:color w:val="000000"/>
                <w:sz w:val="20"/>
                <w:szCs w:val="20"/>
              </w:rPr>
              <w:t>Moldova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(2)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 w:rsidRPr="00737D1B">
              <w:rPr>
                <w:rFonts w:cs="Calibri"/>
                <w:sz w:val="20"/>
                <w:szCs w:val="20"/>
              </w:rPr>
              <w:t>1.225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C242CB" w:rsidRPr="00737D1B" w:rsidRDefault="00C242CB" w:rsidP="00C242C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1.498</w:t>
            </w:r>
          </w:p>
        </w:tc>
      </w:tr>
      <w:tr w:rsidR="002E6F16" w:rsidRPr="00737D1B" w:rsidTr="00C242CB">
        <w:trPr>
          <w:trHeight w:val="282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2E6F16" w:rsidRPr="00737D1B" w:rsidRDefault="002E6F16" w:rsidP="00C242CB">
            <w:pPr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324" w:type="dxa"/>
            <w:vAlign w:val="bottom"/>
          </w:tcPr>
          <w:p w:rsidR="002E6F16" w:rsidRPr="00737D1B" w:rsidRDefault="002E6F16" w:rsidP="00C242CB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37D1B">
              <w:rPr>
                <w:rFonts w:cs="Calibri"/>
                <w:color w:val="000000"/>
                <w:sz w:val="20"/>
                <w:szCs w:val="20"/>
              </w:rPr>
              <w:t>0 (2)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2E6F16" w:rsidRPr="00737D1B" w:rsidRDefault="002E6F16" w:rsidP="00C24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2E6F16" w:rsidRPr="00737D1B" w:rsidRDefault="002E6F16" w:rsidP="009C0095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2E6F16" w:rsidRPr="00737D1B" w:rsidRDefault="002E6F16" w:rsidP="009C0095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1.498</w:t>
            </w:r>
          </w:p>
        </w:tc>
      </w:tr>
      <w:tr w:rsidR="002E6F16" w:rsidRPr="00737D1B" w:rsidTr="00C242CB">
        <w:trPr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:rsidR="002E6F16" w:rsidRPr="002E6F16" w:rsidRDefault="002E6F16" w:rsidP="002E6F16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E6F16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24" w:type="dxa"/>
            <w:vAlign w:val="bottom"/>
          </w:tcPr>
          <w:p w:rsidR="002E6F16" w:rsidRPr="003265C1" w:rsidRDefault="002E6F16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90" w:type="dxa"/>
            <w:tcBorders>
              <w:right w:val="single" w:sz="18" w:space="0" w:color="auto"/>
            </w:tcBorders>
            <w:vAlign w:val="bottom"/>
          </w:tcPr>
          <w:p w:rsidR="002E6F16" w:rsidRPr="003265C1" w:rsidRDefault="002E6F16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1.503.466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2E6F16" w:rsidRPr="003265C1" w:rsidRDefault="002E6F16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90" w:type="dxa"/>
            <w:tcBorders>
              <w:right w:val="single" w:sz="18" w:space="0" w:color="auto"/>
            </w:tcBorders>
          </w:tcPr>
          <w:p w:rsidR="002E6F16" w:rsidRPr="003265C1" w:rsidRDefault="002E6F16" w:rsidP="00C242CB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265C1">
              <w:rPr>
                <w:rFonts w:cs="Calibri"/>
                <w:b/>
                <w:color w:val="000000"/>
                <w:sz w:val="20"/>
                <w:szCs w:val="20"/>
              </w:rPr>
              <w:t>1.036.945</w:t>
            </w:r>
          </w:p>
        </w:tc>
      </w:tr>
    </w:tbl>
    <w:p w:rsidR="00C242CB" w:rsidRPr="00CD10BD" w:rsidRDefault="00C242CB" w:rsidP="002E6F16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sectPr w:rsidR="00C242CB" w:rsidRPr="00CD10BD" w:rsidSect="002952AB">
      <w:footerReference w:type="default" r:id="rId9"/>
      <w:pgSz w:w="11906" w:h="16838"/>
      <w:pgMar w:top="1440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87" w:rsidRDefault="00080C87" w:rsidP="00FD66CC">
      <w:pPr>
        <w:spacing w:after="0" w:line="240" w:lineRule="auto"/>
      </w:pPr>
      <w:r>
        <w:separator/>
      </w:r>
    </w:p>
  </w:endnote>
  <w:endnote w:type="continuationSeparator" w:id="0">
    <w:p w:rsidR="00080C87" w:rsidRDefault="00080C87" w:rsidP="00FD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14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03E" w:rsidRDefault="009F10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4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103E" w:rsidRDefault="009F1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87" w:rsidRDefault="00080C87" w:rsidP="00FD66CC">
      <w:pPr>
        <w:spacing w:after="0" w:line="240" w:lineRule="auto"/>
      </w:pPr>
      <w:r>
        <w:separator/>
      </w:r>
    </w:p>
  </w:footnote>
  <w:footnote w:type="continuationSeparator" w:id="0">
    <w:p w:rsidR="00080C87" w:rsidRDefault="00080C87" w:rsidP="00FD66CC">
      <w:pPr>
        <w:spacing w:after="0" w:line="240" w:lineRule="auto"/>
      </w:pPr>
      <w:r>
        <w:continuationSeparator/>
      </w:r>
    </w:p>
  </w:footnote>
  <w:footnote w:id="1">
    <w:p w:rsidR="009F103E" w:rsidRPr="00CD10BD" w:rsidRDefault="009F10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A268E">
          <w:rPr>
            <w:rStyle w:val="Hyperlink"/>
            <w:sz w:val="22"/>
            <w:szCs w:val="22"/>
          </w:rPr>
          <w:t>https://indico.egi.eu/indico/getFile.py/access?contribId=6&amp;resId=0&amp;materialId=paper&amp;confId=1368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68"/>
    <w:multiLevelType w:val="hybridMultilevel"/>
    <w:tmpl w:val="D3ECA95A"/>
    <w:lvl w:ilvl="0" w:tplc="650252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2798"/>
    <w:multiLevelType w:val="hybridMultilevel"/>
    <w:tmpl w:val="16E82296"/>
    <w:lvl w:ilvl="0" w:tplc="ED740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7673"/>
    <w:multiLevelType w:val="hybridMultilevel"/>
    <w:tmpl w:val="58261F02"/>
    <w:lvl w:ilvl="0" w:tplc="685E7C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1B45"/>
    <w:multiLevelType w:val="hybridMultilevel"/>
    <w:tmpl w:val="58261F02"/>
    <w:lvl w:ilvl="0" w:tplc="685E7C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97915"/>
    <w:multiLevelType w:val="hybridMultilevel"/>
    <w:tmpl w:val="10284DE6"/>
    <w:lvl w:ilvl="0" w:tplc="8F96E2A2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B543A"/>
    <w:multiLevelType w:val="hybridMultilevel"/>
    <w:tmpl w:val="8EC6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65DEA"/>
    <w:multiLevelType w:val="hybridMultilevel"/>
    <w:tmpl w:val="8E8E51CC"/>
    <w:lvl w:ilvl="0" w:tplc="4FD86A12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E48C5"/>
    <w:multiLevelType w:val="hybridMultilevel"/>
    <w:tmpl w:val="074C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00957"/>
    <w:multiLevelType w:val="hybridMultilevel"/>
    <w:tmpl w:val="CF86DD26"/>
    <w:lvl w:ilvl="0" w:tplc="D1D0B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137BB"/>
    <w:multiLevelType w:val="hybridMultilevel"/>
    <w:tmpl w:val="DC88E6C8"/>
    <w:lvl w:ilvl="0" w:tplc="B9FA2E84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>
    <w:nsid w:val="5C0571B7"/>
    <w:multiLevelType w:val="hybridMultilevel"/>
    <w:tmpl w:val="4D681B36"/>
    <w:lvl w:ilvl="0" w:tplc="4CAE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5B1EE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7C243C83"/>
    <w:multiLevelType w:val="hybridMultilevel"/>
    <w:tmpl w:val="5586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CC"/>
    <w:rsid w:val="00003539"/>
    <w:rsid w:val="00031B96"/>
    <w:rsid w:val="00034123"/>
    <w:rsid w:val="00050E73"/>
    <w:rsid w:val="0006399E"/>
    <w:rsid w:val="00067FCB"/>
    <w:rsid w:val="00072A39"/>
    <w:rsid w:val="00080C87"/>
    <w:rsid w:val="00086DFB"/>
    <w:rsid w:val="00096B80"/>
    <w:rsid w:val="000A0E4F"/>
    <w:rsid w:val="000C3B93"/>
    <w:rsid w:val="000F27D7"/>
    <w:rsid w:val="001141A5"/>
    <w:rsid w:val="0011433E"/>
    <w:rsid w:val="00114A03"/>
    <w:rsid w:val="00123067"/>
    <w:rsid w:val="001232C4"/>
    <w:rsid w:val="00144C96"/>
    <w:rsid w:val="00160554"/>
    <w:rsid w:val="0016217D"/>
    <w:rsid w:val="001644FA"/>
    <w:rsid w:val="00184E93"/>
    <w:rsid w:val="00193806"/>
    <w:rsid w:val="001954C0"/>
    <w:rsid w:val="001B0BA7"/>
    <w:rsid w:val="001C3D3D"/>
    <w:rsid w:val="001D23C6"/>
    <w:rsid w:val="00202852"/>
    <w:rsid w:val="0024654A"/>
    <w:rsid w:val="00252321"/>
    <w:rsid w:val="0025797E"/>
    <w:rsid w:val="00263902"/>
    <w:rsid w:val="00275A24"/>
    <w:rsid w:val="00283BC8"/>
    <w:rsid w:val="002952AB"/>
    <w:rsid w:val="002C4856"/>
    <w:rsid w:val="002C7826"/>
    <w:rsid w:val="002D3914"/>
    <w:rsid w:val="002E02E8"/>
    <w:rsid w:val="002E3CC3"/>
    <w:rsid w:val="002E6F16"/>
    <w:rsid w:val="00303464"/>
    <w:rsid w:val="00320940"/>
    <w:rsid w:val="003265C1"/>
    <w:rsid w:val="00331BC5"/>
    <w:rsid w:val="00336378"/>
    <w:rsid w:val="003524CC"/>
    <w:rsid w:val="0036376D"/>
    <w:rsid w:val="00364B1D"/>
    <w:rsid w:val="003746D6"/>
    <w:rsid w:val="00380A94"/>
    <w:rsid w:val="003A1A86"/>
    <w:rsid w:val="003A2F8E"/>
    <w:rsid w:val="003B5674"/>
    <w:rsid w:val="003D05E8"/>
    <w:rsid w:val="003E2F18"/>
    <w:rsid w:val="003F7DD3"/>
    <w:rsid w:val="00405D99"/>
    <w:rsid w:val="0041052D"/>
    <w:rsid w:val="004148C8"/>
    <w:rsid w:val="004171DB"/>
    <w:rsid w:val="004322BF"/>
    <w:rsid w:val="00440E7A"/>
    <w:rsid w:val="00446717"/>
    <w:rsid w:val="0046393A"/>
    <w:rsid w:val="00480445"/>
    <w:rsid w:val="004A333C"/>
    <w:rsid w:val="004E0D42"/>
    <w:rsid w:val="004E6BA0"/>
    <w:rsid w:val="00513A1B"/>
    <w:rsid w:val="00531AEF"/>
    <w:rsid w:val="005431FA"/>
    <w:rsid w:val="005452DE"/>
    <w:rsid w:val="00553680"/>
    <w:rsid w:val="00556612"/>
    <w:rsid w:val="00561AD4"/>
    <w:rsid w:val="0056349F"/>
    <w:rsid w:val="00563697"/>
    <w:rsid w:val="00570981"/>
    <w:rsid w:val="0058246A"/>
    <w:rsid w:val="005925B4"/>
    <w:rsid w:val="005D3ADC"/>
    <w:rsid w:val="005E3BE5"/>
    <w:rsid w:val="005F3D94"/>
    <w:rsid w:val="00611D9E"/>
    <w:rsid w:val="00613034"/>
    <w:rsid w:val="00641703"/>
    <w:rsid w:val="0066085A"/>
    <w:rsid w:val="006627FF"/>
    <w:rsid w:val="00675B1C"/>
    <w:rsid w:val="00681D69"/>
    <w:rsid w:val="00690A7C"/>
    <w:rsid w:val="006B1AA8"/>
    <w:rsid w:val="006B3CF6"/>
    <w:rsid w:val="006C0E38"/>
    <w:rsid w:val="006C6356"/>
    <w:rsid w:val="006D6268"/>
    <w:rsid w:val="006E5525"/>
    <w:rsid w:val="006F3F6C"/>
    <w:rsid w:val="006F6DF3"/>
    <w:rsid w:val="007014A2"/>
    <w:rsid w:val="00710C26"/>
    <w:rsid w:val="00724856"/>
    <w:rsid w:val="00730936"/>
    <w:rsid w:val="00733128"/>
    <w:rsid w:val="00737D1B"/>
    <w:rsid w:val="0075529D"/>
    <w:rsid w:val="00757CC4"/>
    <w:rsid w:val="00760EAA"/>
    <w:rsid w:val="007C40F0"/>
    <w:rsid w:val="007D408D"/>
    <w:rsid w:val="007E447D"/>
    <w:rsid w:val="007E5BAF"/>
    <w:rsid w:val="007F130E"/>
    <w:rsid w:val="008050C8"/>
    <w:rsid w:val="0081646A"/>
    <w:rsid w:val="00827432"/>
    <w:rsid w:val="0084364A"/>
    <w:rsid w:val="00857304"/>
    <w:rsid w:val="0085744C"/>
    <w:rsid w:val="008B2F4C"/>
    <w:rsid w:val="008B4144"/>
    <w:rsid w:val="008C3170"/>
    <w:rsid w:val="008D539C"/>
    <w:rsid w:val="009012B4"/>
    <w:rsid w:val="009071B9"/>
    <w:rsid w:val="009264B4"/>
    <w:rsid w:val="00935A23"/>
    <w:rsid w:val="00970AC3"/>
    <w:rsid w:val="00975EB4"/>
    <w:rsid w:val="00993BBB"/>
    <w:rsid w:val="009B34E3"/>
    <w:rsid w:val="009C0095"/>
    <w:rsid w:val="009D4656"/>
    <w:rsid w:val="009F103E"/>
    <w:rsid w:val="009F6000"/>
    <w:rsid w:val="00A065DA"/>
    <w:rsid w:val="00A21A35"/>
    <w:rsid w:val="00A33857"/>
    <w:rsid w:val="00A43027"/>
    <w:rsid w:val="00A4687A"/>
    <w:rsid w:val="00A8018B"/>
    <w:rsid w:val="00AB3AD5"/>
    <w:rsid w:val="00AC4020"/>
    <w:rsid w:val="00AD0B63"/>
    <w:rsid w:val="00AF1660"/>
    <w:rsid w:val="00AF1C7E"/>
    <w:rsid w:val="00B0203B"/>
    <w:rsid w:val="00B07DC7"/>
    <w:rsid w:val="00B11F13"/>
    <w:rsid w:val="00B236E4"/>
    <w:rsid w:val="00B25D9F"/>
    <w:rsid w:val="00B55387"/>
    <w:rsid w:val="00B57FAC"/>
    <w:rsid w:val="00B632A5"/>
    <w:rsid w:val="00B65674"/>
    <w:rsid w:val="00BA379B"/>
    <w:rsid w:val="00BA467C"/>
    <w:rsid w:val="00BA74CF"/>
    <w:rsid w:val="00BB22C2"/>
    <w:rsid w:val="00BD36B2"/>
    <w:rsid w:val="00BE6A52"/>
    <w:rsid w:val="00BE6AE6"/>
    <w:rsid w:val="00C03936"/>
    <w:rsid w:val="00C242CB"/>
    <w:rsid w:val="00C47431"/>
    <w:rsid w:val="00C627F7"/>
    <w:rsid w:val="00C70C79"/>
    <w:rsid w:val="00C755D8"/>
    <w:rsid w:val="00C84480"/>
    <w:rsid w:val="00C9126F"/>
    <w:rsid w:val="00C93D14"/>
    <w:rsid w:val="00CA6F49"/>
    <w:rsid w:val="00CB0F19"/>
    <w:rsid w:val="00CB70A9"/>
    <w:rsid w:val="00CD10BD"/>
    <w:rsid w:val="00CD2206"/>
    <w:rsid w:val="00CE6D0B"/>
    <w:rsid w:val="00D0038C"/>
    <w:rsid w:val="00D00438"/>
    <w:rsid w:val="00D014F6"/>
    <w:rsid w:val="00D01CF7"/>
    <w:rsid w:val="00D02591"/>
    <w:rsid w:val="00D05262"/>
    <w:rsid w:val="00D06D15"/>
    <w:rsid w:val="00D220BD"/>
    <w:rsid w:val="00D267D0"/>
    <w:rsid w:val="00D27272"/>
    <w:rsid w:val="00D27758"/>
    <w:rsid w:val="00D41D10"/>
    <w:rsid w:val="00D436C7"/>
    <w:rsid w:val="00D51530"/>
    <w:rsid w:val="00D55341"/>
    <w:rsid w:val="00D601E9"/>
    <w:rsid w:val="00D86DCA"/>
    <w:rsid w:val="00D90ADA"/>
    <w:rsid w:val="00D97D05"/>
    <w:rsid w:val="00DE392D"/>
    <w:rsid w:val="00DE6B2D"/>
    <w:rsid w:val="00E0145E"/>
    <w:rsid w:val="00E03A8F"/>
    <w:rsid w:val="00E07502"/>
    <w:rsid w:val="00E32831"/>
    <w:rsid w:val="00E50E96"/>
    <w:rsid w:val="00E55620"/>
    <w:rsid w:val="00E56CD1"/>
    <w:rsid w:val="00E614F6"/>
    <w:rsid w:val="00E62477"/>
    <w:rsid w:val="00E6756B"/>
    <w:rsid w:val="00E93B34"/>
    <w:rsid w:val="00E96840"/>
    <w:rsid w:val="00EA3356"/>
    <w:rsid w:val="00EC5E67"/>
    <w:rsid w:val="00EE0B85"/>
    <w:rsid w:val="00F019F0"/>
    <w:rsid w:val="00F01B6C"/>
    <w:rsid w:val="00F06FC9"/>
    <w:rsid w:val="00F43245"/>
    <w:rsid w:val="00F51785"/>
    <w:rsid w:val="00F745E1"/>
    <w:rsid w:val="00FA2D4C"/>
    <w:rsid w:val="00FA3944"/>
    <w:rsid w:val="00FA5C7E"/>
    <w:rsid w:val="00FB29A2"/>
    <w:rsid w:val="00FB6C97"/>
    <w:rsid w:val="00FC20F9"/>
    <w:rsid w:val="00FC69BE"/>
    <w:rsid w:val="00FD136E"/>
    <w:rsid w:val="00FD4957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6CC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C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6C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6C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6C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66C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66C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66C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66C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6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6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66C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FD66C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FD66C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FD66C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FD66C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FD66C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D66C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D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6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6C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3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C4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0F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F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43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43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0C26"/>
    <w:pPr>
      <w:ind w:left="720"/>
      <w:contextualSpacing/>
    </w:pPr>
  </w:style>
  <w:style w:type="paragraph" w:styleId="Revision">
    <w:name w:val="Revision"/>
    <w:hidden/>
    <w:uiPriority w:val="99"/>
    <w:semiHidden/>
    <w:rsid w:val="00D267D0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6349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349F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634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3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6CC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C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6C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6C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6C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66C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66C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66C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66C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6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6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66C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FD66C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FD66C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FD66C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FD66C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FD66C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D66C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D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6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6C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3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C4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0F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F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43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43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0C26"/>
    <w:pPr>
      <w:ind w:left="720"/>
      <w:contextualSpacing/>
    </w:pPr>
  </w:style>
  <w:style w:type="paragraph" w:styleId="Revision">
    <w:name w:val="Revision"/>
    <w:hidden/>
    <w:uiPriority w:val="99"/>
    <w:semiHidden/>
    <w:rsid w:val="00D267D0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6349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349F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634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3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dico.egi.eu/indico/getFile.py/access?contribId=6&amp;resId=0&amp;materialId=paper&amp;confId=1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D240-01AF-4C37-B03B-93CE7ADB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StevenNewhouse</dc:creator>
  <cp:lastModifiedBy>StevenNewhouse</cp:lastModifiedBy>
  <cp:revision>3</cp:revision>
  <cp:lastPrinted>2013-10-04T08:03:00Z</cp:lastPrinted>
  <dcterms:created xsi:type="dcterms:W3CDTF">2013-10-04T08:08:00Z</dcterms:created>
  <dcterms:modified xsi:type="dcterms:W3CDTF">2013-10-04T08:35:00Z</dcterms:modified>
</cp:coreProperties>
</file>