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96"/>
        <w:tblW w:w="5598" w:type="dxa"/>
        <w:tblLook w:val="04A0" w:firstRow="1" w:lastRow="0" w:firstColumn="1" w:lastColumn="0" w:noHBand="0" w:noVBand="1"/>
      </w:tblPr>
      <w:tblGrid>
        <w:gridCol w:w="2248"/>
        <w:gridCol w:w="1116"/>
        <w:gridCol w:w="1117"/>
        <w:gridCol w:w="1117"/>
      </w:tblGrid>
      <w:tr w:rsidR="009C4350" w:rsidRPr="00D26CD0">
        <w:trPr>
          <w:trHeight w:val="420"/>
        </w:trPr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4350" w:rsidRPr="009C4350" w:rsidRDefault="009C4350" w:rsidP="009C43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val="en-US"/>
              </w:rPr>
            </w:pPr>
            <w:bookmarkStart w:id="0" w:name="_GoBack"/>
            <w:bookmarkEnd w:id="0"/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en-US"/>
              </w:rPr>
              <w:t> </w:t>
            </w:r>
          </w:p>
        </w:tc>
      </w:tr>
      <w:tr w:rsidR="009C4350" w:rsidRPr="009C4350">
        <w:trPr>
          <w:trHeight w:val="312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:rsidR="009C4350" w:rsidRPr="009C4350" w:rsidRDefault="009C4350" w:rsidP="009C4350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:rsidR="009C4350" w:rsidRPr="009C4350" w:rsidRDefault="009C4350" w:rsidP="009C4350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:rsidR="009C4350" w:rsidRPr="009C4350" w:rsidRDefault="009C4350" w:rsidP="009C4350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2015</w:t>
            </w:r>
          </w:p>
        </w:tc>
      </w:tr>
      <w:tr w:rsidR="009C4350" w:rsidRPr="009C4350">
        <w:trPr>
          <w:trHeight w:val="312"/>
        </w:trPr>
        <w:tc>
          <w:tcPr>
            <w:tcW w:w="2248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Indirect costs  </w:t>
            </w:r>
          </w:p>
        </w:tc>
        <w:tc>
          <w:tcPr>
            <w:tcW w:w="111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3587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3857</w:t>
            </w:r>
          </w:p>
        </w:tc>
        <w:tc>
          <w:tcPr>
            <w:tcW w:w="11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3734</w:t>
            </w:r>
          </w:p>
        </w:tc>
      </w:tr>
      <w:tr w:rsidR="009C4350" w:rsidRPr="009C4350">
        <w:trPr>
          <w:trHeight w:val="300"/>
        </w:trPr>
        <w:tc>
          <w:tcPr>
            <w:tcW w:w="224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Other investments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555</w:t>
            </w:r>
          </w:p>
        </w:tc>
      </w:tr>
      <w:tr w:rsidR="009C4350" w:rsidRPr="009C4350">
        <w:trPr>
          <w:trHeight w:val="300"/>
        </w:trPr>
        <w:tc>
          <w:tcPr>
            <w:tcW w:w="224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Personnel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3631</w:t>
            </w:r>
          </w:p>
        </w:tc>
      </w:tr>
      <w:tr w:rsidR="009C4350" w:rsidRPr="009C4350">
        <w:trPr>
          <w:trHeight w:val="576"/>
        </w:trPr>
        <w:tc>
          <w:tcPr>
            <w:tcW w:w="224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R&amp;D and Fellowships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D26CD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9C4350"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D26CD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="009C4350"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D26CD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  <w:r w:rsidR="009C4350"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C4350" w:rsidRPr="009C4350">
        <w:trPr>
          <w:trHeight w:val="300"/>
        </w:trPr>
        <w:tc>
          <w:tcPr>
            <w:tcW w:w="224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AdV investments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FC2B41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 w:rsidR="009C4350"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FC2B41" w:rsidP="00FC2B4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="009C4350"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9C4350" w:rsidRPr="009C4350">
        <w:trPr>
          <w:trHeight w:val="300"/>
        </w:trPr>
        <w:tc>
          <w:tcPr>
            <w:tcW w:w="224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 </w:t>
            </w:r>
            <w:r w:rsidR="002144A1" w:rsidRPr="00214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Totals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4350" w:rsidRPr="009C4350" w:rsidRDefault="00D26CD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  <w:r w:rsidR="009C4350"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4350" w:rsidRPr="009C4350" w:rsidRDefault="00FC2B41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  <w:r w:rsidR="009C4350"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4350" w:rsidRPr="009C4350" w:rsidRDefault="00FC2B41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  <w:r w:rsidR="009C4350"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</w:tbl>
    <w:p w:rsidR="009C4350" w:rsidRPr="009C4350" w:rsidRDefault="009C4350" w:rsidP="009C4350">
      <w:pPr>
        <w:jc w:val="center"/>
        <w:rPr>
          <w:rFonts w:ascii="Bookman Old Style" w:hAnsi="Bookman Old Style"/>
          <w:sz w:val="28"/>
          <w:szCs w:val="28"/>
          <w:lang w:val="en-US"/>
        </w:rPr>
      </w:pPr>
      <w:r w:rsidRPr="009C4350">
        <w:rPr>
          <w:rFonts w:ascii="Bookman Old Style" w:hAnsi="Bookman Old Style"/>
          <w:sz w:val="28"/>
          <w:szCs w:val="28"/>
          <w:lang w:val="en-US"/>
        </w:rPr>
        <w:t>EGO Running costs</w:t>
      </w:r>
    </w:p>
    <w:p w:rsidR="009C4350" w:rsidRPr="009C4350" w:rsidRDefault="009C4350" w:rsidP="009C4350">
      <w:pPr>
        <w:rPr>
          <w:rFonts w:ascii="Bookman Old Style" w:hAnsi="Bookman Old Style"/>
          <w:sz w:val="28"/>
          <w:szCs w:val="28"/>
          <w:lang w:val="en-US"/>
        </w:rPr>
      </w:pPr>
    </w:p>
    <w:p w:rsidR="009C4350" w:rsidRPr="009C4350" w:rsidRDefault="009C4350" w:rsidP="009C4350">
      <w:pPr>
        <w:rPr>
          <w:rFonts w:ascii="Bookman Old Style" w:hAnsi="Bookman Old Style"/>
          <w:sz w:val="28"/>
          <w:szCs w:val="28"/>
          <w:lang w:val="en-US"/>
        </w:rPr>
      </w:pPr>
    </w:p>
    <w:p w:rsidR="009C4350" w:rsidRPr="009C4350" w:rsidRDefault="009C4350" w:rsidP="009C4350">
      <w:pPr>
        <w:rPr>
          <w:rFonts w:ascii="Bookman Old Style" w:hAnsi="Bookman Old Style"/>
          <w:sz w:val="28"/>
          <w:szCs w:val="28"/>
          <w:lang w:val="en-US"/>
        </w:rPr>
      </w:pPr>
    </w:p>
    <w:p w:rsidR="009C4350" w:rsidRPr="009C4350" w:rsidRDefault="009C4350" w:rsidP="009C4350">
      <w:pPr>
        <w:rPr>
          <w:rFonts w:ascii="Bookman Old Style" w:hAnsi="Bookman Old Style"/>
          <w:sz w:val="28"/>
          <w:szCs w:val="28"/>
          <w:lang w:val="en-US"/>
        </w:rPr>
      </w:pPr>
    </w:p>
    <w:p w:rsidR="009C4350" w:rsidRPr="009C4350" w:rsidRDefault="009C4350" w:rsidP="009C4350">
      <w:pPr>
        <w:rPr>
          <w:rFonts w:ascii="Bookman Old Style" w:hAnsi="Bookman Old Style"/>
          <w:sz w:val="28"/>
          <w:szCs w:val="28"/>
          <w:lang w:val="en-US"/>
        </w:rPr>
      </w:pPr>
    </w:p>
    <w:p w:rsidR="009C4350" w:rsidRPr="009C4350" w:rsidRDefault="009C4350" w:rsidP="009C4350">
      <w:pPr>
        <w:rPr>
          <w:rFonts w:ascii="Bookman Old Style" w:hAnsi="Bookman Old Style"/>
          <w:sz w:val="28"/>
          <w:szCs w:val="28"/>
          <w:lang w:val="en-US"/>
        </w:rPr>
      </w:pPr>
    </w:p>
    <w:p w:rsidR="009C4350" w:rsidRPr="009C4350" w:rsidRDefault="009C4350" w:rsidP="009C4350">
      <w:pPr>
        <w:rPr>
          <w:rFonts w:ascii="Bookman Old Style" w:hAnsi="Bookman Old Style"/>
          <w:sz w:val="28"/>
          <w:szCs w:val="28"/>
          <w:lang w:val="en-US"/>
        </w:rPr>
      </w:pPr>
    </w:p>
    <w:p w:rsidR="009C4350" w:rsidRPr="009C4350" w:rsidRDefault="009C4350" w:rsidP="009C4350">
      <w:pPr>
        <w:rPr>
          <w:rFonts w:ascii="Bookman Old Style" w:hAnsi="Bookman Old Style"/>
          <w:sz w:val="28"/>
          <w:szCs w:val="28"/>
          <w:lang w:val="en-US"/>
        </w:rPr>
      </w:pPr>
    </w:p>
    <w:p w:rsidR="009C4350" w:rsidRPr="009C4350" w:rsidRDefault="009C4350" w:rsidP="009C4350">
      <w:pPr>
        <w:rPr>
          <w:rFonts w:ascii="Bookman Old Style" w:hAnsi="Bookman Old Style"/>
          <w:sz w:val="28"/>
          <w:szCs w:val="28"/>
          <w:lang w:val="en-US"/>
        </w:rPr>
      </w:pPr>
    </w:p>
    <w:p w:rsidR="009C4350" w:rsidRPr="009C4350" w:rsidRDefault="009C4350" w:rsidP="009C4350">
      <w:pPr>
        <w:rPr>
          <w:rFonts w:ascii="Bookman Old Style" w:hAnsi="Bookman Old Style"/>
          <w:sz w:val="28"/>
          <w:szCs w:val="28"/>
          <w:lang w:val="en-US"/>
        </w:rPr>
      </w:pPr>
    </w:p>
    <w:p w:rsidR="009C4350" w:rsidRPr="009C4350" w:rsidRDefault="009C4350" w:rsidP="009C4350">
      <w:pPr>
        <w:rPr>
          <w:rFonts w:ascii="Bookman Old Style" w:hAnsi="Bookman Old Style"/>
          <w:sz w:val="28"/>
          <w:szCs w:val="28"/>
          <w:lang w:val="en-US"/>
        </w:rPr>
      </w:pPr>
    </w:p>
    <w:p w:rsidR="009C4350" w:rsidRPr="00D26CD0" w:rsidRDefault="009C4350" w:rsidP="009C4350">
      <w:pPr>
        <w:rPr>
          <w:rFonts w:ascii="Bookman Old Style" w:hAnsi="Bookman Old Style"/>
          <w:lang w:val="en-US"/>
        </w:rPr>
      </w:pPr>
      <w:r w:rsidRPr="00D26CD0">
        <w:rPr>
          <w:rFonts w:ascii="Bookman Old Style" w:hAnsi="Bookman Old Style"/>
          <w:lang w:val="en-US"/>
        </w:rPr>
        <w:t xml:space="preserve">Under Indirect costs are considered: </w:t>
      </w:r>
    </w:p>
    <w:p w:rsidR="009C4350" w:rsidRPr="00D26CD0" w:rsidRDefault="009C4350" w:rsidP="00B422A7">
      <w:pPr>
        <w:ind w:left="810" w:hanging="90"/>
        <w:rPr>
          <w:rFonts w:ascii="Bookman Old Style" w:hAnsi="Bookman Old Style"/>
          <w:lang w:val="en-US"/>
        </w:rPr>
      </w:pPr>
      <w:r w:rsidRPr="00D26CD0">
        <w:rPr>
          <w:rFonts w:ascii="Bookman Old Style" w:hAnsi="Bookman Old Style"/>
          <w:lang w:val="en-US"/>
        </w:rPr>
        <w:t>EGO functioning (including payment</w:t>
      </w:r>
      <w:r w:rsidR="00B422A7" w:rsidRPr="00D26CD0">
        <w:rPr>
          <w:rFonts w:ascii="Bookman Old Style" w:hAnsi="Bookman Old Style"/>
          <w:lang w:val="en-US"/>
        </w:rPr>
        <w:t xml:space="preserve"> of missions from Collaboration </w:t>
      </w:r>
      <w:r w:rsidRPr="00D26CD0">
        <w:rPr>
          <w:rFonts w:ascii="Bookman Old Style" w:hAnsi="Bookman Old Style"/>
          <w:lang w:val="en-US"/>
        </w:rPr>
        <w:t>members to the site, 700 k€ per annum)</w:t>
      </w:r>
    </w:p>
    <w:p w:rsidR="00B422A7" w:rsidRPr="00D26CD0" w:rsidRDefault="009C4350" w:rsidP="009C4350">
      <w:pPr>
        <w:rPr>
          <w:rFonts w:ascii="Bookman Old Style" w:hAnsi="Bookman Old Style"/>
          <w:lang w:val="en-US"/>
        </w:rPr>
      </w:pPr>
      <w:r w:rsidRPr="00D26CD0">
        <w:rPr>
          <w:rFonts w:ascii="Bookman Old Style" w:hAnsi="Bookman Old Style"/>
          <w:lang w:val="en-US"/>
        </w:rPr>
        <w:tab/>
        <w:t>Services</w:t>
      </w:r>
    </w:p>
    <w:p w:rsidR="009C4350" w:rsidRPr="00D26CD0" w:rsidRDefault="009C4350" w:rsidP="009C4350">
      <w:pPr>
        <w:rPr>
          <w:rFonts w:ascii="Bookman Old Style" w:hAnsi="Bookman Old Style"/>
          <w:lang w:val="en-US"/>
        </w:rPr>
      </w:pPr>
      <w:r w:rsidRPr="00D26CD0">
        <w:rPr>
          <w:rFonts w:ascii="Bookman Old Style" w:hAnsi="Bookman Old Style"/>
          <w:lang w:val="en-US"/>
        </w:rPr>
        <w:tab/>
        <w:t>Maintenance</w:t>
      </w:r>
    </w:p>
    <w:p w:rsidR="009C4350" w:rsidRPr="00D26CD0" w:rsidRDefault="009C4350" w:rsidP="009C4350">
      <w:pPr>
        <w:rPr>
          <w:rFonts w:ascii="Bookman Old Style" w:hAnsi="Bookman Old Style"/>
          <w:lang w:val="it-IT"/>
        </w:rPr>
      </w:pPr>
      <w:r w:rsidRPr="00D26CD0">
        <w:rPr>
          <w:rFonts w:ascii="Bookman Old Style" w:hAnsi="Bookman Old Style"/>
          <w:lang w:val="en-US"/>
        </w:rPr>
        <w:tab/>
      </w:r>
      <w:r w:rsidR="00B422A7" w:rsidRPr="00D26CD0">
        <w:rPr>
          <w:rFonts w:ascii="Bookman Old Style" w:hAnsi="Bookman Old Style"/>
          <w:lang w:val="en-US"/>
        </w:rPr>
        <w:t xml:space="preserve">Contribution to </w:t>
      </w:r>
      <w:r w:rsidRPr="00D26CD0">
        <w:rPr>
          <w:rFonts w:ascii="Bookman Old Style" w:hAnsi="Bookman Old Style"/>
          <w:lang w:val="it-IT"/>
        </w:rPr>
        <w:t>LMA operation (300 k€ per annum)</w:t>
      </w:r>
    </w:p>
    <w:p w:rsidR="00E33D71" w:rsidRPr="00D26CD0" w:rsidRDefault="00E33D71" w:rsidP="009C4350">
      <w:pPr>
        <w:rPr>
          <w:rFonts w:ascii="Bookman Old Style" w:hAnsi="Bookman Old Style"/>
          <w:lang w:val="it-IT"/>
        </w:rPr>
      </w:pPr>
    </w:p>
    <w:p w:rsidR="00E33D71" w:rsidRPr="00D26CD0" w:rsidRDefault="00E33D71" w:rsidP="009C4350">
      <w:pPr>
        <w:rPr>
          <w:rFonts w:ascii="Bookman Old Style" w:hAnsi="Bookman Old Style"/>
          <w:lang w:val="en-US"/>
        </w:rPr>
      </w:pPr>
      <w:r w:rsidRPr="00D26CD0">
        <w:rPr>
          <w:rFonts w:ascii="Bookman Old Style" w:hAnsi="Bookman Old Style"/>
          <w:lang w:val="en-US"/>
        </w:rPr>
        <w:t xml:space="preserve">Under Other Investments are considered the upgrade of systems, as necessary for the stable operations of Advanced Virgo (conditioning </w:t>
      </w:r>
      <w:r w:rsidR="00327182">
        <w:rPr>
          <w:rFonts w:ascii="Bookman Old Style" w:hAnsi="Bookman Old Style"/>
          <w:lang w:val="en-US"/>
        </w:rPr>
        <w:t xml:space="preserve">and </w:t>
      </w:r>
      <w:r w:rsidRPr="00D26CD0">
        <w:rPr>
          <w:rFonts w:ascii="Bookman Old Style" w:hAnsi="Bookman Old Style"/>
          <w:lang w:val="en-US"/>
        </w:rPr>
        <w:t>electric systems, computing, etc.)</w:t>
      </w:r>
      <w:r w:rsidR="00327182">
        <w:rPr>
          <w:rFonts w:ascii="Bookman Old Style" w:hAnsi="Bookman Old Style"/>
          <w:lang w:val="en-US"/>
        </w:rPr>
        <w:t xml:space="preserve"> not </w:t>
      </w:r>
      <w:r w:rsidR="00DB4D88">
        <w:rPr>
          <w:rFonts w:ascii="Bookman Old Style" w:hAnsi="Bookman Old Style"/>
          <w:lang w:val="en-US"/>
        </w:rPr>
        <w:t>included in the budget of the experiment.</w:t>
      </w:r>
      <w:r w:rsidRPr="00D26CD0">
        <w:rPr>
          <w:rFonts w:ascii="Bookman Old Style" w:hAnsi="Bookman Old Style"/>
          <w:lang w:val="en-US"/>
        </w:rPr>
        <w:t xml:space="preserve"> </w:t>
      </w:r>
    </w:p>
    <w:p w:rsidR="009C4350" w:rsidRPr="00D26CD0" w:rsidRDefault="009C4350" w:rsidP="009C4350">
      <w:pPr>
        <w:rPr>
          <w:rFonts w:ascii="Bookman Old Style" w:hAnsi="Bookman Old Style"/>
          <w:lang w:val="en-US"/>
        </w:rPr>
      </w:pPr>
    </w:p>
    <w:p w:rsidR="009C4350" w:rsidRPr="00D26CD0" w:rsidRDefault="00D26CD0" w:rsidP="009C4350">
      <w:pPr>
        <w:rPr>
          <w:rFonts w:ascii="Bookman Old Style" w:hAnsi="Bookman Old Style"/>
          <w:lang w:val="en-US"/>
        </w:rPr>
      </w:pPr>
      <w:r w:rsidRPr="00D26CD0">
        <w:rPr>
          <w:rFonts w:ascii="Bookman Old Style" w:hAnsi="Bookman Old Style"/>
          <w:lang w:val="en-US"/>
        </w:rPr>
        <w:t>R&amp;D and Fellow</w:t>
      </w:r>
      <w:r w:rsidR="00AD767F">
        <w:rPr>
          <w:rFonts w:ascii="Bookman Old Style" w:hAnsi="Bookman Old Style"/>
          <w:lang w:val="en-US"/>
        </w:rPr>
        <w:t>ships consider</w:t>
      </w:r>
      <w:r w:rsidRPr="00D26CD0">
        <w:rPr>
          <w:rFonts w:ascii="Bookman Old Style" w:hAnsi="Bookman Old Style"/>
          <w:lang w:val="en-US"/>
        </w:rPr>
        <w:t xml:space="preserve"> fellowships</w:t>
      </w:r>
      <w:r w:rsidR="00327182">
        <w:rPr>
          <w:rFonts w:ascii="Bookman Old Style" w:hAnsi="Bookman Old Style"/>
          <w:lang w:val="en-US"/>
        </w:rPr>
        <w:t xml:space="preserve"> as</w:t>
      </w:r>
      <w:r w:rsidRPr="00D26CD0">
        <w:rPr>
          <w:rFonts w:ascii="Bookman Old Style" w:hAnsi="Bookman Old Style"/>
          <w:lang w:val="en-US"/>
        </w:rPr>
        <w:t xml:space="preserve"> requested by the</w:t>
      </w:r>
      <w:r w:rsidR="00AD767F">
        <w:rPr>
          <w:rFonts w:ascii="Bookman Old Style" w:hAnsi="Bookman Old Style"/>
          <w:lang w:val="en-US"/>
        </w:rPr>
        <w:t xml:space="preserve"> Collaboration and for </w:t>
      </w:r>
      <w:r w:rsidRPr="00D26CD0">
        <w:rPr>
          <w:rFonts w:ascii="Bookman Old Style" w:hAnsi="Bookman Old Style"/>
          <w:lang w:val="en-US"/>
        </w:rPr>
        <w:t>2015 some R&amp;D for the upgrades of Advanced Virgo, to keep it competitive with the Advanced LIGO detectors.</w:t>
      </w:r>
    </w:p>
    <w:p w:rsidR="00D26CD0" w:rsidRPr="00234224" w:rsidRDefault="00D26CD0" w:rsidP="009C4350">
      <w:pPr>
        <w:rPr>
          <w:rFonts w:ascii="Bookman Old Style" w:hAnsi="Bookman Old Style"/>
          <w:sz w:val="16"/>
          <w:szCs w:val="16"/>
          <w:lang w:val="en-US"/>
        </w:rPr>
      </w:pPr>
    </w:p>
    <w:p w:rsidR="009C4350" w:rsidRDefault="009C4350" w:rsidP="009C4350">
      <w:pPr>
        <w:jc w:val="center"/>
        <w:rPr>
          <w:rFonts w:ascii="Bookman Old Style" w:hAnsi="Bookman Old Style"/>
          <w:sz w:val="28"/>
          <w:szCs w:val="28"/>
        </w:rPr>
      </w:pPr>
      <w:r w:rsidRPr="009C4350">
        <w:rPr>
          <w:rFonts w:ascii="Bookman Old Style" w:hAnsi="Bookman Old Style"/>
          <w:sz w:val="28"/>
          <w:szCs w:val="28"/>
        </w:rPr>
        <w:t xml:space="preserve">EGO </w:t>
      </w:r>
      <w:r>
        <w:rPr>
          <w:rFonts w:ascii="Bookman Old Style" w:hAnsi="Bookman Old Style"/>
          <w:sz w:val="28"/>
          <w:szCs w:val="28"/>
        </w:rPr>
        <w:t>Incomes</w:t>
      </w:r>
    </w:p>
    <w:tbl>
      <w:tblPr>
        <w:tblpPr w:leftFromText="180" w:rightFromText="180" w:vertAnchor="text" w:horzAnchor="margin" w:tblpXSpec="center" w:tblpY="189"/>
        <w:tblW w:w="7320" w:type="dxa"/>
        <w:tblLook w:val="04A0" w:firstRow="1" w:lastRow="0" w:firstColumn="1" w:lastColumn="0" w:noHBand="0" w:noVBand="1"/>
      </w:tblPr>
      <w:tblGrid>
        <w:gridCol w:w="3960"/>
        <w:gridCol w:w="1120"/>
        <w:gridCol w:w="1120"/>
        <w:gridCol w:w="1120"/>
      </w:tblGrid>
      <w:tr w:rsidR="009C4350" w:rsidRPr="009C4350">
        <w:trPr>
          <w:trHeight w:val="31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C4350" w:rsidRPr="009C4350" w:rsidRDefault="009C4350" w:rsidP="009C435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2013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2014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2015</w:t>
            </w:r>
          </w:p>
        </w:tc>
      </w:tr>
      <w:tr w:rsidR="009C4350" w:rsidRPr="009C4350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Ordinary contributions</w:t>
            </w:r>
            <w:r w:rsidR="0074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CNRS + INFN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</w:t>
            </w:r>
          </w:p>
        </w:tc>
      </w:tr>
      <w:tr w:rsidR="009C4350" w:rsidRPr="009C4350">
        <w:trPr>
          <w:trHeight w:val="300"/>
        </w:trPr>
        <w:tc>
          <w:tcPr>
            <w:tcW w:w="39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NIKHEF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C4350" w:rsidRPr="009C4350">
        <w:trPr>
          <w:trHeight w:val="300"/>
        </w:trPr>
        <w:tc>
          <w:tcPr>
            <w:tcW w:w="39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Other incomes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FC2B41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C4350" w:rsidRPr="009C4350">
        <w:trPr>
          <w:trHeight w:val="300"/>
        </w:trPr>
        <w:tc>
          <w:tcPr>
            <w:tcW w:w="39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AdV contributions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from CNRS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1220</w:t>
            </w:r>
          </w:p>
        </w:tc>
      </w:tr>
      <w:tr w:rsidR="009C4350" w:rsidRPr="009C4350">
        <w:trPr>
          <w:trHeight w:val="370"/>
        </w:trPr>
        <w:tc>
          <w:tcPr>
            <w:tcW w:w="39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AdV previous contributions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C4350" w:rsidRPr="009C4350">
        <w:trPr>
          <w:trHeight w:val="300"/>
        </w:trPr>
        <w:tc>
          <w:tcPr>
            <w:tcW w:w="39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C4350" w:rsidRPr="009C4350" w:rsidRDefault="002144A1" w:rsidP="009C4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 </w:t>
            </w:r>
            <w:r w:rsidRPr="00214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Totals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4350" w:rsidRPr="009C4350" w:rsidRDefault="009C4350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4350" w:rsidRPr="009C4350" w:rsidRDefault="00FC2B41" w:rsidP="009C43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1032</w:t>
            </w:r>
            <w:r w:rsidR="009C4350" w:rsidRPr="009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9C4350" w:rsidRPr="009C4350" w:rsidRDefault="009C4350" w:rsidP="009C4350">
      <w:pPr>
        <w:rPr>
          <w:rFonts w:ascii="Bookman Old Style" w:hAnsi="Bookman Old Style"/>
          <w:sz w:val="28"/>
          <w:szCs w:val="28"/>
        </w:rPr>
      </w:pPr>
    </w:p>
    <w:p w:rsidR="009C4350" w:rsidRPr="009C4350" w:rsidRDefault="009C4350" w:rsidP="009C4350">
      <w:pPr>
        <w:tabs>
          <w:tab w:val="left" w:pos="4185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D26CD0" w:rsidRDefault="00D26CD0" w:rsidP="009C4350">
      <w:pPr>
        <w:tabs>
          <w:tab w:val="left" w:pos="4185"/>
        </w:tabs>
        <w:rPr>
          <w:rFonts w:ascii="Bookman Old Style" w:hAnsi="Bookman Old Style"/>
          <w:sz w:val="28"/>
          <w:szCs w:val="28"/>
        </w:rPr>
      </w:pPr>
    </w:p>
    <w:p w:rsidR="00D26CD0" w:rsidRPr="00D26CD0" w:rsidRDefault="00D26CD0" w:rsidP="00D26CD0">
      <w:pPr>
        <w:rPr>
          <w:rFonts w:ascii="Bookman Old Style" w:hAnsi="Bookman Old Style"/>
          <w:sz w:val="28"/>
          <w:szCs w:val="28"/>
        </w:rPr>
      </w:pPr>
    </w:p>
    <w:p w:rsidR="00D26CD0" w:rsidRPr="00D26CD0" w:rsidRDefault="00D26CD0" w:rsidP="00D26CD0">
      <w:pPr>
        <w:rPr>
          <w:rFonts w:ascii="Bookman Old Style" w:hAnsi="Bookman Old Style"/>
          <w:sz w:val="28"/>
          <w:szCs w:val="28"/>
        </w:rPr>
      </w:pPr>
    </w:p>
    <w:p w:rsidR="00D26CD0" w:rsidRPr="00D26CD0" w:rsidRDefault="00D26CD0" w:rsidP="00D26CD0">
      <w:pPr>
        <w:rPr>
          <w:rFonts w:ascii="Bookman Old Style" w:hAnsi="Bookman Old Style"/>
          <w:sz w:val="28"/>
          <w:szCs w:val="28"/>
        </w:rPr>
      </w:pPr>
    </w:p>
    <w:p w:rsidR="00D26CD0" w:rsidRPr="00D26CD0" w:rsidRDefault="00D26CD0" w:rsidP="00D26CD0">
      <w:pPr>
        <w:rPr>
          <w:rFonts w:ascii="Bookman Old Style" w:hAnsi="Bookman Old Style"/>
          <w:sz w:val="28"/>
          <w:szCs w:val="28"/>
        </w:rPr>
      </w:pPr>
    </w:p>
    <w:p w:rsidR="00D26CD0" w:rsidRPr="00D26CD0" w:rsidRDefault="00D26CD0" w:rsidP="00D26CD0">
      <w:pPr>
        <w:rPr>
          <w:rFonts w:ascii="Bookman Old Style" w:hAnsi="Bookman Old Style"/>
          <w:sz w:val="28"/>
          <w:szCs w:val="28"/>
        </w:rPr>
      </w:pPr>
    </w:p>
    <w:p w:rsidR="00D26CD0" w:rsidRDefault="00D26CD0" w:rsidP="00D26CD0">
      <w:pPr>
        <w:rPr>
          <w:rFonts w:ascii="Bookman Old Style" w:hAnsi="Bookman Old Style"/>
          <w:sz w:val="28"/>
          <w:szCs w:val="28"/>
        </w:rPr>
      </w:pPr>
    </w:p>
    <w:p w:rsidR="002F662A" w:rsidRPr="00DB4D88" w:rsidRDefault="00D26CD0" w:rsidP="00D26CD0">
      <w:pPr>
        <w:tabs>
          <w:tab w:val="left" w:pos="1080"/>
        </w:tabs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8"/>
          <w:szCs w:val="28"/>
        </w:rPr>
        <w:tab/>
      </w:r>
      <w:r w:rsidR="00D35F06">
        <w:rPr>
          <w:rFonts w:ascii="Bookman Old Style" w:hAnsi="Bookman Old Style"/>
          <w:lang w:val="en-US"/>
        </w:rPr>
        <w:t>Balance</w:t>
      </w:r>
      <w:r w:rsidRPr="00DB4D88">
        <w:rPr>
          <w:rFonts w:ascii="Bookman Old Style" w:hAnsi="Bookman Old Style"/>
          <w:lang w:val="en-US"/>
        </w:rPr>
        <w:t xml:space="preserve">: </w:t>
      </w:r>
      <w:r w:rsidR="00DB4D88" w:rsidRPr="00DB4D88">
        <w:rPr>
          <w:rFonts w:ascii="Bookman Old Style" w:hAnsi="Bookman Old Style"/>
          <w:lang w:val="en-US"/>
        </w:rPr>
        <w:t>2013:</w:t>
      </w:r>
      <w:r w:rsidR="00D35F06">
        <w:rPr>
          <w:rFonts w:ascii="Bookman Old Style" w:hAnsi="Bookman Old Style"/>
          <w:lang w:val="en-US"/>
        </w:rPr>
        <w:t xml:space="preserve"> -1665;</w:t>
      </w:r>
      <w:r w:rsidRPr="00DB4D88">
        <w:rPr>
          <w:rFonts w:ascii="Bookman Old Style" w:hAnsi="Bookman Old Style"/>
          <w:lang w:val="en-US"/>
        </w:rPr>
        <w:t xml:space="preserve"> </w:t>
      </w:r>
      <w:r w:rsidR="00FC2B41">
        <w:rPr>
          <w:rFonts w:ascii="Bookman Old Style" w:hAnsi="Bookman Old Style"/>
          <w:lang w:val="en-US"/>
        </w:rPr>
        <w:t>2014:</w:t>
      </w:r>
      <w:r w:rsidR="00D35F06">
        <w:rPr>
          <w:rFonts w:ascii="Bookman Old Style" w:hAnsi="Bookman Old Style"/>
          <w:lang w:val="en-US"/>
        </w:rPr>
        <w:t xml:space="preserve"> -664;</w:t>
      </w:r>
      <w:r w:rsidR="00FC2B41">
        <w:rPr>
          <w:rFonts w:ascii="Bookman Old Style" w:hAnsi="Bookman Old Style"/>
          <w:lang w:val="en-US"/>
        </w:rPr>
        <w:t xml:space="preserve"> 2015: 0</w:t>
      </w:r>
      <w:r w:rsidR="00D35F06">
        <w:rPr>
          <w:rFonts w:ascii="Bookman Old Style" w:hAnsi="Bookman Old Style"/>
          <w:lang w:val="en-US"/>
        </w:rPr>
        <w:t>.</w:t>
      </w:r>
    </w:p>
    <w:p w:rsidR="00DB4D88" w:rsidRPr="00DB4D88" w:rsidRDefault="00DB4D88" w:rsidP="00D26CD0">
      <w:pPr>
        <w:tabs>
          <w:tab w:val="left" w:pos="1080"/>
        </w:tabs>
        <w:rPr>
          <w:rFonts w:ascii="Bookman Old Style" w:hAnsi="Bookman Old Style"/>
          <w:lang w:val="en-US"/>
        </w:rPr>
      </w:pPr>
    </w:p>
    <w:p w:rsidR="005525E4" w:rsidRDefault="00DB4D88" w:rsidP="00D26CD0">
      <w:pPr>
        <w:tabs>
          <w:tab w:val="left" w:pos="1080"/>
        </w:tabs>
        <w:rPr>
          <w:rFonts w:ascii="Bookman Old Style" w:hAnsi="Bookman Old Style"/>
          <w:lang w:val="en-US"/>
        </w:rPr>
      </w:pPr>
      <w:r w:rsidRPr="00DB4D88">
        <w:rPr>
          <w:rFonts w:ascii="Bookman Old Style" w:hAnsi="Bookman Old Style"/>
          <w:lang w:val="en-US"/>
        </w:rPr>
        <w:t>The situation for 2013 and 2014 will be afforded t</w:t>
      </w:r>
      <w:r w:rsidR="00FC2B41">
        <w:rPr>
          <w:rFonts w:ascii="Bookman Old Style" w:hAnsi="Bookman Old Style"/>
          <w:lang w:val="en-US"/>
        </w:rPr>
        <w:t>hank to the residuals</w:t>
      </w:r>
      <w:r w:rsidRPr="00DB4D88">
        <w:rPr>
          <w:rFonts w:ascii="Bookman Old Style" w:hAnsi="Bookman Old Style"/>
          <w:lang w:val="en-US"/>
        </w:rPr>
        <w:t xml:space="preserve"> </w:t>
      </w:r>
      <w:r w:rsidR="00FC2B41">
        <w:rPr>
          <w:rFonts w:ascii="Bookman Old Style" w:hAnsi="Bookman Old Style"/>
          <w:lang w:val="en-US"/>
        </w:rPr>
        <w:t>from previous years’ budgets</w:t>
      </w:r>
      <w:r w:rsidR="001F50B6">
        <w:rPr>
          <w:rFonts w:ascii="Bookman Old Style" w:hAnsi="Bookman Old Style"/>
          <w:lang w:val="en-US"/>
        </w:rPr>
        <w:t>; till 2010 the annual ord</w:t>
      </w:r>
      <w:r w:rsidR="00C92270">
        <w:rPr>
          <w:rFonts w:ascii="Bookman Old Style" w:hAnsi="Bookman Old Style"/>
          <w:lang w:val="en-US"/>
        </w:rPr>
        <w:t xml:space="preserve">inary contributions amounted to </w:t>
      </w:r>
      <w:r w:rsidR="001F50B6">
        <w:rPr>
          <w:rFonts w:ascii="Bookman Old Style" w:hAnsi="Bookman Old Style"/>
          <w:lang w:val="en-US"/>
        </w:rPr>
        <w:t>10M€, in</w:t>
      </w:r>
      <w:r w:rsidRPr="00DB4D88">
        <w:rPr>
          <w:rFonts w:ascii="Bookman Old Style" w:hAnsi="Bookman Old Style"/>
          <w:lang w:val="en-US"/>
        </w:rPr>
        <w:t xml:space="preserve"> 2011 and 2012</w:t>
      </w:r>
      <w:r w:rsidR="001F50B6">
        <w:rPr>
          <w:rFonts w:ascii="Bookman Old Style" w:hAnsi="Bookman Old Style"/>
          <w:lang w:val="en-US"/>
        </w:rPr>
        <w:t xml:space="preserve"> severe cuts to the </w:t>
      </w:r>
      <w:r w:rsidR="00C92270">
        <w:rPr>
          <w:rFonts w:ascii="Bookman Old Style" w:hAnsi="Bookman Old Style"/>
          <w:lang w:val="en-US"/>
        </w:rPr>
        <w:t>EGO budget have been applied</w:t>
      </w:r>
      <w:r w:rsidRPr="00DB4D88">
        <w:rPr>
          <w:rFonts w:ascii="Bookman Old Style" w:hAnsi="Bookman Old Style"/>
          <w:lang w:val="en-US"/>
        </w:rPr>
        <w:t xml:space="preserve">. </w:t>
      </w:r>
    </w:p>
    <w:p w:rsidR="005525E4" w:rsidRDefault="00D62496" w:rsidP="00D26CD0">
      <w:pPr>
        <w:tabs>
          <w:tab w:val="left" w:pos="1080"/>
        </w:tabs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noProof/>
          <w:lang w:eastAsia="fr-FR"/>
        </w:rPr>
        <w:lastRenderedPageBreak/>
        <w:drawing>
          <wp:inline distT="0" distB="0" distL="0" distR="0">
            <wp:extent cx="5943600" cy="4362450"/>
            <wp:effectExtent l="25400" t="0" r="0" b="0"/>
            <wp:docPr id="1" name="Image 0" descr="Advanced Virgo Budget Profile Mo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anced Virgo Budget Profile Mour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D88" w:rsidRPr="00DB4D88" w:rsidRDefault="00DB4D88" w:rsidP="00D26CD0">
      <w:pPr>
        <w:tabs>
          <w:tab w:val="left" w:pos="1080"/>
        </w:tabs>
        <w:rPr>
          <w:rFonts w:ascii="Bookman Old Style" w:hAnsi="Bookman Old Style"/>
          <w:lang w:val="en-US"/>
        </w:rPr>
      </w:pPr>
    </w:p>
    <w:sectPr w:rsidR="00DB4D88" w:rsidRPr="00DB4D88" w:rsidSect="002F6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FF" w:rsidRDefault="008944FF" w:rsidP="00D26CD0">
      <w:r>
        <w:separator/>
      </w:r>
    </w:p>
  </w:endnote>
  <w:endnote w:type="continuationSeparator" w:id="0">
    <w:p w:rsidR="008944FF" w:rsidRDefault="008944FF" w:rsidP="00D2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FF" w:rsidRDefault="008944FF" w:rsidP="00D26CD0">
      <w:r>
        <w:separator/>
      </w:r>
    </w:p>
  </w:footnote>
  <w:footnote w:type="continuationSeparator" w:id="0">
    <w:p w:rsidR="008944FF" w:rsidRDefault="008944FF" w:rsidP="00D26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50"/>
    <w:rsid w:val="00151674"/>
    <w:rsid w:val="00195BF6"/>
    <w:rsid w:val="001F50B6"/>
    <w:rsid w:val="002144A1"/>
    <w:rsid w:val="00234224"/>
    <w:rsid w:val="002C73F7"/>
    <w:rsid w:val="002F662A"/>
    <w:rsid w:val="00327182"/>
    <w:rsid w:val="0035374D"/>
    <w:rsid w:val="003F1358"/>
    <w:rsid w:val="00454363"/>
    <w:rsid w:val="004B328A"/>
    <w:rsid w:val="005525E4"/>
    <w:rsid w:val="00636DCD"/>
    <w:rsid w:val="006B5431"/>
    <w:rsid w:val="00744509"/>
    <w:rsid w:val="008944FF"/>
    <w:rsid w:val="008E6A74"/>
    <w:rsid w:val="009C4350"/>
    <w:rsid w:val="00A64392"/>
    <w:rsid w:val="00AD012C"/>
    <w:rsid w:val="00AD767F"/>
    <w:rsid w:val="00B36BC3"/>
    <w:rsid w:val="00B422A7"/>
    <w:rsid w:val="00BF1920"/>
    <w:rsid w:val="00C34F8B"/>
    <w:rsid w:val="00C92270"/>
    <w:rsid w:val="00D26CD0"/>
    <w:rsid w:val="00D35F06"/>
    <w:rsid w:val="00D52595"/>
    <w:rsid w:val="00D62496"/>
    <w:rsid w:val="00DB4D88"/>
    <w:rsid w:val="00E33D71"/>
    <w:rsid w:val="00ED5C9A"/>
    <w:rsid w:val="00FC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2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26CD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26CD0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26CD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6CD0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2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26CD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26CD0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26CD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6CD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Gravitational Observatory</Company>
  <LinksUpToDate>false</LinksUpToDate>
  <CharactersWithSpaces>1392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ferrini</dc:creator>
  <cp:lastModifiedBy>HELLO Caroline</cp:lastModifiedBy>
  <cp:revision>2</cp:revision>
  <cp:lastPrinted>2012-10-18T10:50:00Z</cp:lastPrinted>
  <dcterms:created xsi:type="dcterms:W3CDTF">2012-10-31T10:51:00Z</dcterms:created>
  <dcterms:modified xsi:type="dcterms:W3CDTF">2012-10-31T10:51:00Z</dcterms:modified>
</cp:coreProperties>
</file>