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61" w:rsidRDefault="009F3E3E" w:rsidP="00BE1455">
      <w:pPr>
        <w:pBdr>
          <w:bottom w:val="single" w:sz="4" w:space="1" w:color="auto"/>
        </w:pBdr>
        <w:ind w:left="-540"/>
      </w:pPr>
      <w:r>
        <w:t xml:space="preserve">                                                                                                            </w:t>
      </w:r>
    </w:p>
    <w:p w:rsidR="00FA08C4" w:rsidRDefault="00FA08C4" w:rsidP="00BE1455">
      <w:pPr>
        <w:pBdr>
          <w:bottom w:val="single" w:sz="4" w:space="1" w:color="auto"/>
        </w:pBdr>
        <w:ind w:left="-540"/>
      </w:pPr>
      <w:r w:rsidRPr="009F3E3E">
        <w:rPr>
          <w:b/>
        </w:rPr>
        <w:t>IN2P3 – Valorisation et partenariats industriels</w:t>
      </w:r>
      <w:r w:rsidR="009F3E3E">
        <w:t xml:space="preserve">                                        </w:t>
      </w:r>
      <w:r w:rsidR="0042203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95pt;height:44.2pt">
            <v:imagedata r:id="rId5" o:title=""/>
          </v:shape>
        </w:pict>
      </w:r>
    </w:p>
    <w:p w:rsidR="009F3E3E" w:rsidRPr="00560918" w:rsidRDefault="009F3E3E" w:rsidP="00BE1455">
      <w:pPr>
        <w:pBdr>
          <w:bottom w:val="single" w:sz="4" w:space="1" w:color="auto"/>
        </w:pBdr>
        <w:ind w:left="-540"/>
      </w:pPr>
    </w:p>
    <w:p w:rsidR="00FA08C4" w:rsidRPr="00536B75" w:rsidRDefault="002F24F1" w:rsidP="00536B75">
      <w:pPr>
        <w:spacing w:before="120"/>
        <w:ind w:left="-539"/>
        <w:rPr>
          <w:b/>
        </w:rPr>
      </w:pPr>
      <w:r>
        <w:rPr>
          <w:b/>
        </w:rPr>
        <w:t>Transfert de technologies et savoir faire – Knowledge &amp; Technology Transfer</w:t>
      </w:r>
    </w:p>
    <w:p w:rsidR="00FB6061" w:rsidRPr="00C931F4" w:rsidRDefault="00FB6061" w:rsidP="00560918">
      <w:pPr>
        <w:rPr>
          <w:sz w:val="20"/>
          <w:szCs w:val="20"/>
        </w:rPr>
      </w:pPr>
    </w:p>
    <w:p w:rsidR="002553BC" w:rsidRPr="00536B75" w:rsidRDefault="00E15A2E" w:rsidP="00536B75">
      <w:pPr>
        <w:ind w:left="-540" w:right="203"/>
        <w:rPr>
          <w:b/>
          <w:sz w:val="32"/>
          <w:szCs w:val="32"/>
        </w:rPr>
      </w:pPr>
      <w:r>
        <w:rPr>
          <w:b/>
          <w:sz w:val="32"/>
          <w:szCs w:val="32"/>
        </w:rPr>
        <w:t>LICENSING</w:t>
      </w:r>
      <w:r w:rsidR="005570D4">
        <w:rPr>
          <w:b/>
          <w:sz w:val="32"/>
          <w:szCs w:val="32"/>
        </w:rPr>
        <w:t xml:space="preserve"> / COLLABORATION</w:t>
      </w:r>
      <w:r>
        <w:rPr>
          <w:b/>
          <w:sz w:val="32"/>
          <w:szCs w:val="32"/>
        </w:rPr>
        <w:t xml:space="preserve"> OPPORTUNITY</w:t>
      </w:r>
    </w:p>
    <w:p w:rsidR="00043F7E" w:rsidRPr="00884CCD" w:rsidRDefault="0028414A" w:rsidP="00043F7E">
      <w:pPr>
        <w:ind w:left="-540" w:right="203"/>
        <w:rPr>
          <w:b/>
          <w:i/>
          <w:sz w:val="16"/>
          <w:szCs w:val="16"/>
        </w:rPr>
      </w:pPr>
      <w:r>
        <w:rPr>
          <w:b/>
          <w:i/>
        </w:rPr>
        <w:t>Microélectronique</w:t>
      </w:r>
    </w:p>
    <w:p w:rsidR="00FA08C4" w:rsidRPr="00884CCD" w:rsidRDefault="00FA08C4" w:rsidP="00560918">
      <w:pPr>
        <w:ind w:left="-540" w:right="203"/>
        <w:rPr>
          <w:b/>
          <w:i/>
          <w:sz w:val="16"/>
          <w:szCs w:val="16"/>
        </w:rPr>
      </w:pPr>
    </w:p>
    <w:tbl>
      <w:tblPr>
        <w:tblW w:w="10800" w:type="dxa"/>
        <w:tblInd w:w="-470" w:type="dxa"/>
        <w:tblCellMar>
          <w:left w:w="70" w:type="dxa"/>
          <w:right w:w="70" w:type="dxa"/>
        </w:tblCellMar>
        <w:tblLook w:val="0000"/>
      </w:tblPr>
      <w:tblGrid>
        <w:gridCol w:w="10800"/>
      </w:tblGrid>
      <w:tr w:rsidR="00FA08C4" w:rsidTr="00F250A9">
        <w:tc>
          <w:tcPr>
            <w:tcW w:w="10800" w:type="dxa"/>
          </w:tcPr>
          <w:p w:rsidR="00FB6061" w:rsidRPr="00884CCD" w:rsidRDefault="00FB6061">
            <w:pPr>
              <w:rPr>
                <w:sz w:val="16"/>
                <w:szCs w:val="16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184"/>
              <w:gridCol w:w="5476"/>
            </w:tblGrid>
            <w:tr w:rsidR="00560918" w:rsidRPr="00FB6061" w:rsidTr="00F250A9">
              <w:trPr>
                <w:trHeight w:val="11713"/>
              </w:trPr>
              <w:tc>
                <w:tcPr>
                  <w:tcW w:w="227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1455" w:rsidRPr="00A01C1F" w:rsidRDefault="002F24F1" w:rsidP="00A01C1F">
                  <w:pPr>
                    <w:widowControl w:val="0"/>
                    <w:spacing w:before="240"/>
                    <w:jc w:val="both"/>
                    <w:rPr>
                      <w:b/>
                      <w:sz w:val="18"/>
                      <w:szCs w:val="18"/>
                    </w:rPr>
                  </w:pPr>
                  <w:r w:rsidRPr="00A01C1F">
                    <w:rPr>
                      <w:b/>
                      <w:sz w:val="18"/>
                      <w:szCs w:val="18"/>
                    </w:rPr>
                    <w:t>Refe</w:t>
                  </w:r>
                  <w:r w:rsidR="00FB6061" w:rsidRPr="00A01C1F">
                    <w:rPr>
                      <w:b/>
                      <w:sz w:val="18"/>
                      <w:szCs w:val="18"/>
                    </w:rPr>
                    <w:t xml:space="preserve">rences </w:t>
                  </w:r>
                </w:p>
                <w:tbl>
                  <w:tblPr>
                    <w:tblW w:w="0" w:type="auto"/>
                    <w:tblLook w:val="01E0"/>
                  </w:tblPr>
                  <w:tblGrid>
                    <w:gridCol w:w="4500"/>
                  </w:tblGrid>
                  <w:tr w:rsidR="00BE1455" w:rsidRPr="008D6A45" w:rsidTr="00F250A9">
                    <w:tc>
                      <w:tcPr>
                        <w:tcW w:w="4500" w:type="dxa"/>
                        <w:tcMar>
                          <w:top w:w="85" w:type="dxa"/>
                          <w:bottom w:w="85" w:type="dxa"/>
                        </w:tcMar>
                        <w:vAlign w:val="center"/>
                      </w:tcPr>
                      <w:p w:rsidR="00043F7E" w:rsidRPr="00043F7E" w:rsidRDefault="006A0455" w:rsidP="00043F7E">
                        <w:pPr>
                          <w:widowControl w:val="0"/>
                          <w:jc w:val="both"/>
                          <w:rPr>
                            <w:bCs/>
                            <w:i/>
                            <w:sz w:val="18"/>
                            <w:szCs w:val="18"/>
                            <w:lang w:val="en-US"/>
                          </w:rPr>
                        </w:pPr>
                        <w:r w:rsidRPr="00043F7E">
                          <w:rPr>
                            <w:bCs/>
                            <w:sz w:val="18"/>
                            <w:szCs w:val="18"/>
                            <w:lang w:val="en-US"/>
                          </w:rPr>
                          <w:t xml:space="preserve">IN2P3: </w:t>
                        </w:r>
                      </w:p>
                      <w:p w:rsidR="00BE1455" w:rsidRPr="00043F7E" w:rsidRDefault="006A0455" w:rsidP="00043F7E">
                        <w:pPr>
                          <w:widowControl w:val="0"/>
                          <w:jc w:val="both"/>
                          <w:rPr>
                            <w:bCs/>
                            <w:sz w:val="18"/>
                            <w:szCs w:val="18"/>
                            <w:lang w:val="en-US"/>
                          </w:rPr>
                        </w:pPr>
                        <w:r w:rsidRPr="00043F7E">
                          <w:rPr>
                            <w:bCs/>
                            <w:sz w:val="18"/>
                            <w:szCs w:val="18"/>
                            <w:lang w:val="en-US"/>
                          </w:rPr>
                          <w:t xml:space="preserve">Others: </w:t>
                        </w:r>
                        <w:r w:rsidR="00043F7E" w:rsidRPr="00662FEF">
                          <w:rPr>
                            <w:bCs/>
                            <w:sz w:val="18"/>
                            <w:szCs w:val="18"/>
                            <w:lang w:val="en-GB"/>
                          </w:rPr>
                          <w:t>http://lapp.in2p3.fr/spip.php?rubrique81</w:t>
                        </w:r>
                      </w:p>
                    </w:tc>
                  </w:tr>
                </w:tbl>
                <w:p w:rsidR="00026BCF" w:rsidRPr="00A01C1F" w:rsidRDefault="00026BCF" w:rsidP="00A01C1F">
                  <w:pPr>
                    <w:keepNext/>
                    <w:keepLines/>
                    <w:suppressAutoHyphens/>
                    <w:spacing w:before="240"/>
                    <w:ind w:right="318"/>
                    <w:jc w:val="both"/>
                    <w:rPr>
                      <w:b/>
                      <w:sz w:val="18"/>
                      <w:szCs w:val="18"/>
                      <w:lang w:val="en-GB"/>
                    </w:rPr>
                  </w:pPr>
                  <w:r w:rsidRPr="00A01C1F">
                    <w:rPr>
                      <w:b/>
                      <w:sz w:val="18"/>
                      <w:szCs w:val="18"/>
                      <w:lang w:val="en-GB"/>
                    </w:rPr>
                    <w:t xml:space="preserve">Description </w:t>
                  </w:r>
                </w:p>
                <w:tbl>
                  <w:tblPr>
                    <w:tblW w:w="4968" w:type="dxa"/>
                    <w:tblLook w:val="01E0"/>
                  </w:tblPr>
                  <w:tblGrid>
                    <w:gridCol w:w="4968"/>
                  </w:tblGrid>
                  <w:tr w:rsidR="00026BCF" w:rsidRPr="00A01C1F" w:rsidTr="00F250A9">
                    <w:tc>
                      <w:tcPr>
                        <w:tcW w:w="4968" w:type="dxa"/>
                        <w:tcMar>
                          <w:top w:w="85" w:type="dxa"/>
                          <w:bottom w:w="85" w:type="dxa"/>
                        </w:tcMar>
                        <w:vAlign w:val="center"/>
                      </w:tcPr>
                      <w:p w:rsidR="00026BCF" w:rsidRPr="00A01C1F" w:rsidRDefault="00043F7E" w:rsidP="00C66498">
                        <w:pPr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Conception </w:t>
                        </w:r>
                        <w:r w:rsidR="0028414A">
                          <w:rPr>
                            <w:i/>
                            <w:iCs/>
                            <w:sz w:val="18"/>
                            <w:szCs w:val="18"/>
                          </w:rPr>
                          <w:t>d’ASICs -</w:t>
                        </w:r>
                        <w:r w:rsidR="00003F10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r w:rsidR="0028414A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Application Specific Integrated Circuit </w:t>
                        </w:r>
                        <w:r w:rsidR="009851EC">
                          <w:rPr>
                            <w:i/>
                            <w:iCs/>
                            <w:sz w:val="18"/>
                            <w:szCs w:val="18"/>
                          </w:rPr>
                          <w:t>–</w:t>
                        </w:r>
                        <w:r w:rsidR="00292E3A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r w:rsidR="009851EC">
                          <w:rPr>
                            <w:i/>
                            <w:iCs/>
                            <w:sz w:val="18"/>
                            <w:szCs w:val="18"/>
                          </w:rPr>
                          <w:t>en totalité ou partie, pour les détecteurs de physique des particules</w:t>
                        </w:r>
                        <w:r w:rsidR="00C66498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. </w:t>
                        </w:r>
                      </w:p>
                    </w:tc>
                  </w:tr>
                </w:tbl>
                <w:p w:rsidR="00BE1455" w:rsidRPr="008D6A45" w:rsidRDefault="002F24F1" w:rsidP="00A01C1F">
                  <w:pPr>
                    <w:widowControl w:val="0"/>
                    <w:spacing w:before="240"/>
                    <w:jc w:val="both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8D6A45">
                    <w:rPr>
                      <w:b/>
                      <w:sz w:val="18"/>
                      <w:szCs w:val="18"/>
                      <w:lang w:val="en-US"/>
                    </w:rPr>
                    <w:t>Technology and/or</w:t>
                  </w:r>
                  <w:r w:rsidR="004F4AC1" w:rsidRPr="008D6A45">
                    <w:rPr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Pr="008D6A45">
                    <w:rPr>
                      <w:b/>
                      <w:sz w:val="18"/>
                      <w:szCs w:val="18"/>
                      <w:lang w:val="en-US"/>
                    </w:rPr>
                    <w:t xml:space="preserve">Application </w:t>
                  </w:r>
                  <w:r w:rsidR="00591130" w:rsidRPr="008D6A45">
                    <w:rPr>
                      <w:b/>
                      <w:sz w:val="18"/>
                      <w:szCs w:val="18"/>
                      <w:lang w:val="en-US"/>
                    </w:rPr>
                    <w:t>Domain</w:t>
                  </w:r>
                  <w:r w:rsidR="00FB6061" w:rsidRPr="008D6A45">
                    <w:rPr>
                      <w:b/>
                      <w:sz w:val="18"/>
                      <w:szCs w:val="18"/>
                      <w:lang w:val="en-US"/>
                    </w:rPr>
                    <w:t>(s)</w:t>
                  </w:r>
                  <w:r w:rsidR="0040252B" w:rsidRPr="008D6A45">
                    <w:rPr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tbl>
                  <w:tblPr>
                    <w:tblW w:w="4500" w:type="dxa"/>
                    <w:tblLook w:val="01E0"/>
                  </w:tblPr>
                  <w:tblGrid>
                    <w:gridCol w:w="4500"/>
                  </w:tblGrid>
                  <w:tr w:rsidR="00BE1455" w:rsidRPr="00A01C1F" w:rsidTr="00F250A9">
                    <w:tc>
                      <w:tcPr>
                        <w:tcW w:w="4500" w:type="dxa"/>
                        <w:tcMar>
                          <w:top w:w="85" w:type="dxa"/>
                          <w:bottom w:w="85" w:type="dxa"/>
                        </w:tcMar>
                        <w:vAlign w:val="center"/>
                      </w:tcPr>
                      <w:p w:rsidR="00BE1455" w:rsidRPr="00A01C1F" w:rsidRDefault="00043F7E" w:rsidP="008D6A45">
                        <w:pPr>
                          <w:jc w:val="both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Les domaines couverts par notre laboratoire concern</w:t>
                        </w:r>
                        <w:r w:rsidR="003665AA">
                          <w:rPr>
                            <w:i/>
                            <w:iCs/>
                            <w:sz w:val="18"/>
                            <w:szCs w:val="18"/>
                          </w:rPr>
                          <w:t>ent</w:t>
                        </w: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le traitement </w:t>
                        </w:r>
                        <w:r w:rsidR="009851EC">
                          <w:rPr>
                            <w:i/>
                            <w:iCs/>
                            <w:sz w:val="18"/>
                            <w:szCs w:val="18"/>
                          </w:rPr>
                          <w:t>des signaux issu</w:t>
                        </w: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s de</w:t>
                        </w:r>
                        <w:r w:rsidR="009851EC">
                          <w:rPr>
                            <w:i/>
                            <w:iCs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détecteurs de physique des particules, mais ces compétences peuvent s’appliquer </w:t>
                        </w:r>
                        <w:r w:rsidR="008D6A45">
                          <w:rPr>
                            <w:i/>
                            <w:iCs/>
                            <w:sz w:val="18"/>
                            <w:szCs w:val="18"/>
                          </w:rPr>
                          <w:t>dans de</w:t>
                        </w:r>
                        <w:r w:rsidR="009851EC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nombreux autres </w:t>
                        </w:r>
                        <w:r w:rsidR="000C56D9" w:rsidRPr="008D6A45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domaines : </w:t>
                        </w:r>
                        <w:r w:rsidR="008D6A45" w:rsidRPr="008D6A45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traitement </w:t>
                        </w:r>
                        <w:r w:rsidR="008D6A45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de </w:t>
                        </w:r>
                        <w:r w:rsidR="000C56D9" w:rsidRPr="008D6A45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signaux issus de </w:t>
                        </w:r>
                        <w:r w:rsidR="009851EC" w:rsidRPr="008D6A45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capteurs, </w:t>
                        </w:r>
                        <w:r w:rsidR="00C66498" w:rsidRPr="008D6A45">
                          <w:rPr>
                            <w:i/>
                            <w:iCs/>
                            <w:sz w:val="18"/>
                            <w:szCs w:val="18"/>
                          </w:rPr>
                          <w:t>applications requérant peu d’encombrement, une très faible consommation ou dissipation thermique, ou bien encore des .</w:t>
                        </w:r>
                        <w:r w:rsidR="000C56D9" w:rsidRPr="008D6A45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environnements </w:t>
                        </w:r>
                        <w:r w:rsidR="003D36B9" w:rsidRPr="008D6A45">
                          <w:rPr>
                            <w:i/>
                            <w:iCs/>
                            <w:sz w:val="18"/>
                            <w:szCs w:val="18"/>
                          </w:rPr>
                          <w:t>sévères</w:t>
                        </w:r>
                        <w:r w:rsidR="000C56D9" w:rsidRPr="008D6A45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comme le</w:t>
                        </w:r>
                        <w:r w:rsidR="003D36B9" w:rsidRPr="008D6A45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spatial, les milieux irradiés</w:t>
                        </w:r>
                        <w:r w:rsidR="00C66498" w:rsidRPr="008D6A45">
                          <w:rPr>
                            <w:i/>
                            <w:iCs/>
                            <w:sz w:val="18"/>
                            <w:szCs w:val="18"/>
                          </w:rPr>
                          <w:t>, …</w:t>
                        </w:r>
                      </w:p>
                    </w:tc>
                  </w:tr>
                </w:tbl>
                <w:p w:rsidR="00BE1455" w:rsidRPr="00A01C1F" w:rsidRDefault="002F24F1" w:rsidP="00A01C1F">
                  <w:pPr>
                    <w:widowControl w:val="0"/>
                    <w:spacing w:before="240"/>
                    <w:jc w:val="both"/>
                    <w:rPr>
                      <w:b/>
                      <w:sz w:val="18"/>
                      <w:szCs w:val="18"/>
                      <w:lang w:val="en-GB"/>
                    </w:rPr>
                  </w:pPr>
                  <w:r w:rsidRPr="00A01C1F">
                    <w:rPr>
                      <w:b/>
                      <w:sz w:val="18"/>
                      <w:szCs w:val="18"/>
                      <w:lang w:val="en-GB"/>
                    </w:rPr>
                    <w:t>Keywords</w:t>
                  </w:r>
                  <w:r w:rsidR="00BE1455" w:rsidRPr="00A01C1F">
                    <w:rPr>
                      <w:b/>
                      <w:sz w:val="18"/>
                      <w:szCs w:val="18"/>
                      <w:lang w:val="en-GB"/>
                    </w:rPr>
                    <w:t xml:space="preserve"> :</w:t>
                  </w:r>
                </w:p>
                <w:tbl>
                  <w:tblPr>
                    <w:tblW w:w="0" w:type="auto"/>
                    <w:tblLook w:val="01E0"/>
                  </w:tblPr>
                  <w:tblGrid>
                    <w:gridCol w:w="4500"/>
                  </w:tblGrid>
                  <w:tr w:rsidR="00BE1455" w:rsidRPr="008D6A45" w:rsidTr="00F250A9">
                    <w:trPr>
                      <w:trHeight w:val="597"/>
                    </w:trPr>
                    <w:tc>
                      <w:tcPr>
                        <w:tcW w:w="4500" w:type="dxa"/>
                        <w:tcMar>
                          <w:top w:w="85" w:type="dxa"/>
                          <w:bottom w:w="85" w:type="dxa"/>
                        </w:tcMar>
                        <w:vAlign w:val="center"/>
                      </w:tcPr>
                      <w:p w:rsidR="0085091C" w:rsidRPr="003665AA" w:rsidRDefault="00BB167D" w:rsidP="00A30D3A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3665AA">
                          <w:rPr>
                            <w:sz w:val="20"/>
                            <w:szCs w:val="20"/>
                            <w:lang w:val="en-US"/>
                          </w:rPr>
                          <w:t>Electronics,</w:t>
                        </w:r>
                        <w:r w:rsidR="00A72373">
                          <w:rPr>
                            <w:sz w:val="20"/>
                            <w:szCs w:val="20"/>
                            <w:lang w:val="en-US"/>
                          </w:rPr>
                          <w:t xml:space="preserve"> Microelectronics</w:t>
                        </w:r>
                      </w:p>
                      <w:p w:rsidR="00A30D3A" w:rsidRPr="003665AA" w:rsidRDefault="00A30D3A" w:rsidP="00A30D3A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3665AA">
                          <w:rPr>
                            <w:sz w:val="20"/>
                            <w:szCs w:val="20"/>
                            <w:lang w:val="en-US"/>
                          </w:rPr>
                          <w:t>Detectors, Sensors &amp; Imagery</w:t>
                        </w:r>
                      </w:p>
                      <w:p w:rsidR="00BE1455" w:rsidRPr="003665AA" w:rsidRDefault="00BE1455" w:rsidP="00222D24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</w:tbl>
                <w:p w:rsidR="00BE1455" w:rsidRPr="003665AA" w:rsidRDefault="00BE1455" w:rsidP="00A01C1F">
                  <w:pPr>
                    <w:widowControl w:val="0"/>
                    <w:spacing w:before="240"/>
                    <w:jc w:val="both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3665AA">
                    <w:rPr>
                      <w:b/>
                      <w:sz w:val="18"/>
                      <w:szCs w:val="18"/>
                      <w:lang w:val="en-US"/>
                    </w:rPr>
                    <w:t>O</w:t>
                  </w:r>
                  <w:r w:rsidR="002F24F1" w:rsidRPr="003665AA">
                    <w:rPr>
                      <w:b/>
                      <w:sz w:val="18"/>
                      <w:szCs w:val="18"/>
                      <w:lang w:val="en-US"/>
                    </w:rPr>
                    <w:t>ffering: Licensing / Collaboration</w:t>
                  </w:r>
                  <w:r w:rsidR="005570D4" w:rsidRPr="003665AA">
                    <w:rPr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Pr="003665AA">
                    <w:rPr>
                      <w:b/>
                      <w:sz w:val="18"/>
                      <w:szCs w:val="18"/>
                      <w:lang w:val="en-US"/>
                    </w:rPr>
                    <w:t xml:space="preserve">: </w:t>
                  </w:r>
                </w:p>
                <w:tbl>
                  <w:tblPr>
                    <w:tblW w:w="0" w:type="auto"/>
                    <w:tblLook w:val="01E0"/>
                  </w:tblPr>
                  <w:tblGrid>
                    <w:gridCol w:w="4500"/>
                  </w:tblGrid>
                  <w:tr w:rsidR="00BE1455" w:rsidRPr="00A01C1F" w:rsidTr="00F250A9">
                    <w:tc>
                      <w:tcPr>
                        <w:tcW w:w="4500" w:type="dxa"/>
                        <w:tcMar>
                          <w:top w:w="85" w:type="dxa"/>
                          <w:bottom w:w="85" w:type="dxa"/>
                        </w:tcMar>
                        <w:vAlign w:val="center"/>
                      </w:tcPr>
                      <w:p w:rsidR="00A30D3A" w:rsidRDefault="00A30D3A" w:rsidP="00A30D3A">
                        <w:pPr>
                          <w:numPr>
                            <w:ilvl w:val="0"/>
                            <w:numId w:val="3"/>
                          </w:num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Conseil et expertise technique</w:t>
                        </w:r>
                        <w:r w:rsidR="009851EC">
                          <w:rPr>
                            <w:i/>
                            <w:sz w:val="18"/>
                            <w:szCs w:val="18"/>
                          </w:rPr>
                          <w:t xml:space="preserve"> pour la conception de blocs spécifiques</w:t>
                        </w:r>
                        <w:r w:rsidR="003D36B9">
                          <w:rPr>
                            <w:i/>
                            <w:sz w:val="18"/>
                            <w:szCs w:val="18"/>
                          </w:rPr>
                          <w:t>.</w:t>
                        </w:r>
                      </w:p>
                      <w:p w:rsidR="00867108" w:rsidRPr="009851EC" w:rsidRDefault="00A30D3A" w:rsidP="009851EC">
                        <w:pPr>
                          <w:numPr>
                            <w:ilvl w:val="0"/>
                            <w:numId w:val="3"/>
                          </w:num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Collaboration ou partenariat</w:t>
                        </w:r>
                        <w:r w:rsidR="003D36B9">
                          <w:rPr>
                            <w:i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</w:tbl>
                <w:p w:rsidR="00BE1455" w:rsidRPr="00A01C1F" w:rsidRDefault="00BE1455" w:rsidP="00A01C1F">
                  <w:pPr>
                    <w:widowControl w:val="0"/>
                    <w:spacing w:before="240"/>
                    <w:jc w:val="both"/>
                    <w:rPr>
                      <w:b/>
                      <w:sz w:val="18"/>
                      <w:szCs w:val="18"/>
                      <w:lang w:val="en-GB"/>
                    </w:rPr>
                  </w:pPr>
                  <w:r w:rsidRPr="00A01C1F">
                    <w:rPr>
                      <w:b/>
                      <w:sz w:val="18"/>
                      <w:szCs w:val="18"/>
                      <w:lang w:val="en-GB"/>
                    </w:rPr>
                    <w:t>Contact</w:t>
                  </w:r>
                  <w:r w:rsidR="00591130" w:rsidRPr="00A01C1F">
                    <w:rPr>
                      <w:b/>
                      <w:sz w:val="18"/>
                      <w:szCs w:val="18"/>
                      <w:lang w:val="en-GB"/>
                    </w:rPr>
                    <w:t xml:space="preserve"> in</w:t>
                  </w:r>
                  <w:r w:rsidRPr="00A01C1F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 w:rsidR="00591130" w:rsidRPr="00A01C1F">
                    <w:rPr>
                      <w:b/>
                      <w:sz w:val="18"/>
                      <w:szCs w:val="18"/>
                      <w:lang w:val="en-GB"/>
                    </w:rPr>
                    <w:t xml:space="preserve">Laboratory </w:t>
                  </w:r>
                </w:p>
                <w:tbl>
                  <w:tblPr>
                    <w:tblW w:w="0" w:type="auto"/>
                    <w:tblLook w:val="01E0"/>
                  </w:tblPr>
                  <w:tblGrid>
                    <w:gridCol w:w="4500"/>
                  </w:tblGrid>
                  <w:tr w:rsidR="00BE1455" w:rsidRPr="008D6A45" w:rsidTr="00F250A9">
                    <w:tc>
                      <w:tcPr>
                        <w:tcW w:w="4500" w:type="dxa"/>
                        <w:tcMar>
                          <w:top w:w="85" w:type="dxa"/>
                          <w:bottom w:w="85" w:type="dxa"/>
                        </w:tcMar>
                        <w:vAlign w:val="center"/>
                      </w:tcPr>
                      <w:p w:rsidR="00A30D3A" w:rsidRPr="005E7793" w:rsidRDefault="00A30D3A" w:rsidP="00A30D3A">
                        <w:pPr>
                          <w:rPr>
                            <w:sz w:val="18"/>
                            <w:szCs w:val="18"/>
                          </w:rPr>
                        </w:pPr>
                        <w:r w:rsidRPr="005E7793">
                          <w:rPr>
                            <w:sz w:val="18"/>
                            <w:szCs w:val="18"/>
                          </w:rPr>
                          <w:t>Technol</w:t>
                        </w:r>
                        <w:r w:rsidR="003D36B9">
                          <w:rPr>
                            <w:sz w:val="18"/>
                            <w:szCs w:val="18"/>
                          </w:rPr>
                          <w:t>o</w:t>
                        </w:r>
                        <w:r w:rsidRPr="005E7793">
                          <w:rPr>
                            <w:sz w:val="18"/>
                            <w:szCs w:val="18"/>
                          </w:rPr>
                          <w:t>gy Transfer Officer: Frédérique Chollet</w:t>
                        </w:r>
                      </w:p>
                      <w:p w:rsidR="00A30D3A" w:rsidRPr="005E7793" w:rsidRDefault="00A30D3A" w:rsidP="00A30D3A">
                        <w:pPr>
                          <w:rPr>
                            <w:sz w:val="18"/>
                            <w:szCs w:val="18"/>
                          </w:rPr>
                        </w:pPr>
                        <w:r w:rsidRPr="005E7793">
                          <w:rPr>
                            <w:sz w:val="18"/>
                            <w:szCs w:val="18"/>
                          </w:rPr>
                          <w:t xml:space="preserve">Tel: +33 (0) 4 50 09 16 44   </w:t>
                        </w:r>
                      </w:p>
                      <w:p w:rsidR="00A30D3A" w:rsidRPr="005E7793" w:rsidRDefault="00A30D3A" w:rsidP="00A30D3A">
                        <w:pPr>
                          <w:rPr>
                            <w:sz w:val="18"/>
                            <w:szCs w:val="18"/>
                          </w:rPr>
                        </w:pPr>
                        <w:r w:rsidRPr="005E7793">
                          <w:rPr>
                            <w:sz w:val="18"/>
                            <w:szCs w:val="18"/>
                          </w:rPr>
                          <w:t xml:space="preserve">email: </w:t>
                        </w:r>
                        <w:hyperlink r:id="rId6" w:history="1">
                          <w:r w:rsidRPr="005E7793">
                            <w:rPr>
                              <w:rStyle w:val="Lienhypertexte"/>
                              <w:sz w:val="18"/>
                              <w:szCs w:val="18"/>
                            </w:rPr>
                            <w:t>chollet@lapp.in2p3.fr</w:t>
                          </w:r>
                        </w:hyperlink>
                      </w:p>
                      <w:p w:rsidR="00A30D3A" w:rsidRPr="005E7793" w:rsidRDefault="0042203A" w:rsidP="00A30D3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7" w:history="1">
                          <w:r w:rsidR="00A30D3A" w:rsidRPr="005E7793">
                            <w:rPr>
                              <w:rStyle w:val="Lienhypertexte"/>
                              <w:sz w:val="18"/>
                              <w:szCs w:val="18"/>
                            </w:rPr>
                            <w:t>http://lapp.in2p3.fr/valorisation/</w:t>
                          </w:r>
                        </w:hyperlink>
                      </w:p>
                      <w:p w:rsidR="00A30D3A" w:rsidRPr="005E7793" w:rsidRDefault="00A30D3A" w:rsidP="00A30D3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A30D3A" w:rsidRPr="005E7793" w:rsidRDefault="00A30D3A" w:rsidP="00A30D3A">
                        <w:pPr>
                          <w:rPr>
                            <w:sz w:val="18"/>
                            <w:szCs w:val="18"/>
                          </w:rPr>
                        </w:pPr>
                        <w:r w:rsidRPr="005E7793">
                          <w:rPr>
                            <w:sz w:val="18"/>
                            <w:szCs w:val="18"/>
                          </w:rPr>
                          <w:t>LAPP – UMR5822</w:t>
                        </w:r>
                      </w:p>
                      <w:p w:rsidR="00A30D3A" w:rsidRPr="005E7793" w:rsidRDefault="00A30D3A" w:rsidP="00A30D3A">
                        <w:pPr>
                          <w:rPr>
                            <w:sz w:val="18"/>
                            <w:szCs w:val="18"/>
                          </w:rPr>
                        </w:pPr>
                        <w:r w:rsidRPr="005E7793">
                          <w:rPr>
                            <w:sz w:val="18"/>
                            <w:szCs w:val="18"/>
                          </w:rPr>
                          <w:t>Laboratoire d’Annecy le vieux de Physique des Particules</w:t>
                        </w:r>
                      </w:p>
                      <w:p w:rsidR="00A30D3A" w:rsidRPr="003665AA" w:rsidRDefault="00A30D3A" w:rsidP="00A30D3A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3665AA">
                          <w:rPr>
                            <w:sz w:val="18"/>
                            <w:szCs w:val="18"/>
                            <w:lang w:val="en-US"/>
                          </w:rPr>
                          <w:t>Tel: +33 (0) 4 50 09 16 00</w:t>
                        </w:r>
                      </w:p>
                      <w:p w:rsidR="00A30D3A" w:rsidRPr="003665AA" w:rsidRDefault="00A30D3A" w:rsidP="00A30D3A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3665AA">
                          <w:rPr>
                            <w:sz w:val="18"/>
                            <w:szCs w:val="18"/>
                            <w:lang w:val="en-US"/>
                          </w:rPr>
                          <w:t xml:space="preserve">Fax: +33 (0) 4 50 27 94 95 </w:t>
                        </w:r>
                      </w:p>
                      <w:p w:rsidR="00867108" w:rsidRPr="00A01C1F" w:rsidRDefault="0042203A" w:rsidP="00A30D3A">
                        <w:pPr>
                          <w:widowControl w:val="0"/>
                          <w:jc w:val="both"/>
                          <w:rPr>
                            <w:sz w:val="18"/>
                            <w:szCs w:val="18"/>
                            <w:lang w:val="en-GB"/>
                          </w:rPr>
                        </w:pPr>
                        <w:hyperlink r:id="rId8" w:history="1">
                          <w:r w:rsidR="00A30D3A" w:rsidRPr="005E7793">
                            <w:rPr>
                              <w:rStyle w:val="Lienhypertexte"/>
                              <w:sz w:val="18"/>
                              <w:szCs w:val="18"/>
                              <w:lang w:val="en-GB"/>
                            </w:rPr>
                            <w:t>http://lapp.in2p3.fr/</w:t>
                          </w:r>
                        </w:hyperlink>
                      </w:p>
                    </w:tc>
                  </w:tr>
                </w:tbl>
                <w:p w:rsidR="00BE1455" w:rsidRPr="00A01C1F" w:rsidRDefault="00BE1455" w:rsidP="00A01C1F">
                  <w:pPr>
                    <w:widowControl w:val="0"/>
                    <w:spacing w:before="240"/>
                    <w:jc w:val="both"/>
                    <w:rPr>
                      <w:b/>
                      <w:sz w:val="18"/>
                      <w:szCs w:val="18"/>
                      <w:lang w:val="en-GB"/>
                    </w:rPr>
                  </w:pPr>
                  <w:r w:rsidRPr="00A01C1F">
                    <w:rPr>
                      <w:b/>
                      <w:sz w:val="18"/>
                      <w:szCs w:val="18"/>
                      <w:lang w:val="en-GB"/>
                    </w:rPr>
                    <w:t>Contact IN2P</w:t>
                  </w:r>
                  <w:r w:rsidR="00FB6061" w:rsidRPr="00A01C1F">
                    <w:rPr>
                      <w:b/>
                      <w:sz w:val="18"/>
                      <w:szCs w:val="18"/>
                      <w:lang w:val="en-GB"/>
                    </w:rPr>
                    <w:t xml:space="preserve">3 – </w:t>
                  </w:r>
                  <w:r w:rsidR="00591130" w:rsidRPr="00A01C1F">
                    <w:rPr>
                      <w:b/>
                      <w:sz w:val="18"/>
                      <w:szCs w:val="18"/>
                      <w:lang w:val="en-GB"/>
                    </w:rPr>
                    <w:t>Head of Technology Transfer Office</w:t>
                  </w:r>
                  <w:r w:rsidR="00FB6061" w:rsidRPr="00A01C1F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</w:p>
                <w:tbl>
                  <w:tblPr>
                    <w:tblW w:w="0" w:type="auto"/>
                    <w:tblLook w:val="01E0"/>
                  </w:tblPr>
                  <w:tblGrid>
                    <w:gridCol w:w="4500"/>
                  </w:tblGrid>
                  <w:tr w:rsidR="00BE1455" w:rsidRPr="00A01C1F" w:rsidTr="00F250A9">
                    <w:tc>
                      <w:tcPr>
                        <w:tcW w:w="4500" w:type="dxa"/>
                        <w:tcMar>
                          <w:top w:w="85" w:type="dxa"/>
                          <w:bottom w:w="85" w:type="dxa"/>
                        </w:tcMar>
                        <w:vAlign w:val="center"/>
                      </w:tcPr>
                      <w:p w:rsidR="00722D24" w:rsidRPr="00A01C1F" w:rsidRDefault="00BE1455" w:rsidP="00A01C1F">
                        <w:pPr>
                          <w:widowControl w:val="0"/>
                          <w:jc w:val="both"/>
                          <w:rPr>
                            <w:sz w:val="18"/>
                            <w:szCs w:val="18"/>
                            <w:lang w:val="en-GB"/>
                          </w:rPr>
                        </w:pPr>
                        <w:r w:rsidRPr="00A01C1F">
                          <w:rPr>
                            <w:sz w:val="18"/>
                            <w:szCs w:val="18"/>
                            <w:lang w:val="en-GB"/>
                          </w:rPr>
                          <w:t xml:space="preserve">Marcel Soberman </w:t>
                        </w:r>
                      </w:p>
                      <w:p w:rsidR="00BE1455" w:rsidRPr="00A01C1F" w:rsidRDefault="00BE1455" w:rsidP="00A01C1F">
                        <w:pPr>
                          <w:widowControl w:val="0"/>
                          <w:jc w:val="both"/>
                          <w:rPr>
                            <w:sz w:val="18"/>
                            <w:szCs w:val="18"/>
                            <w:lang w:val="en-GB"/>
                          </w:rPr>
                        </w:pPr>
                        <w:r w:rsidRPr="00A01C1F">
                          <w:rPr>
                            <w:sz w:val="18"/>
                            <w:szCs w:val="18"/>
                            <w:lang w:val="en-GB"/>
                          </w:rPr>
                          <w:t>Tel: +33 (0) 1 4496 4318</w:t>
                        </w:r>
                      </w:p>
                      <w:p w:rsidR="00BE1455" w:rsidRPr="00A01C1F" w:rsidRDefault="00BE1455" w:rsidP="00A01C1F">
                        <w:pPr>
                          <w:widowControl w:val="0"/>
                          <w:jc w:val="both"/>
                          <w:rPr>
                            <w:sz w:val="18"/>
                            <w:szCs w:val="18"/>
                            <w:lang w:val="en-GB"/>
                          </w:rPr>
                        </w:pPr>
                        <w:r w:rsidRPr="00A01C1F">
                          <w:rPr>
                            <w:sz w:val="18"/>
                            <w:szCs w:val="18"/>
                            <w:lang w:val="en-GB"/>
                          </w:rPr>
                          <w:t xml:space="preserve">email: </w:t>
                        </w:r>
                        <w:hyperlink r:id="rId9" w:history="1">
                          <w:r w:rsidRPr="00A01C1F">
                            <w:rPr>
                              <w:rStyle w:val="Lienhypertexte"/>
                              <w:sz w:val="18"/>
                              <w:szCs w:val="18"/>
                            </w:rPr>
                            <w:t>partenariat.industriel@in2p3.fr</w:t>
                          </w:r>
                        </w:hyperlink>
                      </w:p>
                      <w:p w:rsidR="00BE1455" w:rsidRPr="00A01C1F" w:rsidRDefault="00BE1455" w:rsidP="00A01C1F">
                        <w:pPr>
                          <w:widowControl w:val="0"/>
                          <w:jc w:val="both"/>
                          <w:rPr>
                            <w:sz w:val="18"/>
                            <w:szCs w:val="18"/>
                            <w:lang w:val="en-GB"/>
                          </w:rPr>
                        </w:pPr>
                        <w:r w:rsidRPr="00A01C1F">
                          <w:rPr>
                            <w:sz w:val="18"/>
                            <w:szCs w:val="18"/>
                            <w:lang w:val="en-GB"/>
                          </w:rPr>
                          <w:t>http://valorisation.in2p3.fr/</w:t>
                        </w:r>
                      </w:p>
                    </w:tc>
                  </w:tr>
                </w:tbl>
                <w:p w:rsidR="00FA08C4" w:rsidRPr="00A01C1F" w:rsidRDefault="00FA08C4" w:rsidP="00A01C1F">
                  <w:pPr>
                    <w:widowControl w:val="0"/>
                    <w:ind w:left="-360" w:right="20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3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4950" w:type="dxa"/>
                    <w:tblLook w:val="01E0"/>
                  </w:tblPr>
                  <w:tblGrid>
                    <w:gridCol w:w="4950"/>
                  </w:tblGrid>
                  <w:tr w:rsidR="00950717" w:rsidRPr="00A01C1F" w:rsidTr="00F250A9">
                    <w:trPr>
                      <w:trHeight w:val="2392"/>
                    </w:trPr>
                    <w:tc>
                      <w:tcPr>
                        <w:tcW w:w="4950" w:type="dxa"/>
                        <w:vAlign w:val="center"/>
                      </w:tcPr>
                      <w:p w:rsidR="00950717" w:rsidRPr="00A01C1F" w:rsidRDefault="0042203A" w:rsidP="006342AA">
                        <w:pPr>
                          <w:keepNext/>
                          <w:keepLines/>
                          <w:suppressAutoHyphens/>
                          <w:ind w:right="318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42203A">
                          <w:rPr>
                            <w:i/>
                            <w:sz w:val="20"/>
                            <w:szCs w:val="20"/>
                          </w:rPr>
                          <w:pict>
                            <v:shape id="_x0000_i1026" type="#_x0000_t75" style="width:203.55pt;height:183.7pt">
                              <v:imagedata r:id="rId10" o:title="microroc_renaud"/>
                            </v:shape>
                          </w:pict>
                        </w:r>
                      </w:p>
                    </w:tc>
                  </w:tr>
                </w:tbl>
                <w:p w:rsidR="009A131A" w:rsidRPr="00A01C1F" w:rsidRDefault="009A131A" w:rsidP="00A01C1F">
                  <w:pPr>
                    <w:keepNext/>
                    <w:keepLines/>
                    <w:suppressAutoHyphens/>
                    <w:ind w:right="318"/>
                    <w:jc w:val="both"/>
                    <w:rPr>
                      <w:b/>
                      <w:i/>
                      <w:sz w:val="18"/>
                      <w:szCs w:val="18"/>
                    </w:rPr>
                  </w:pPr>
                </w:p>
                <w:p w:rsidR="00950717" w:rsidRPr="00A01C1F" w:rsidRDefault="00950717" w:rsidP="00A01C1F">
                  <w:pPr>
                    <w:keepNext/>
                    <w:keepLines/>
                    <w:suppressAutoHyphens/>
                    <w:ind w:right="318"/>
                    <w:jc w:val="both"/>
                    <w:rPr>
                      <w:sz w:val="18"/>
                      <w:szCs w:val="18"/>
                    </w:rPr>
                  </w:pPr>
                  <w:r w:rsidRPr="00A01C1F">
                    <w:rPr>
                      <w:b/>
                      <w:i/>
                      <w:sz w:val="18"/>
                      <w:szCs w:val="18"/>
                    </w:rPr>
                    <w:t>Figure 1</w:t>
                  </w:r>
                  <w:r w:rsidR="009A131A" w:rsidRPr="00A01C1F">
                    <w:rPr>
                      <w:b/>
                      <w:i/>
                      <w:sz w:val="18"/>
                      <w:szCs w:val="18"/>
                    </w:rPr>
                    <w:t>:</w:t>
                  </w:r>
                  <w:r w:rsidRPr="00A01C1F">
                    <w:rPr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="00C743C1">
                    <w:rPr>
                      <w:i/>
                      <w:iCs/>
                      <w:sz w:val="18"/>
                      <w:szCs w:val="18"/>
                    </w:rPr>
                    <w:t>ASIC MICROROC pour détecteurs MICROMEGAS (collaboration LAL-OMEGA – LAPP)</w:t>
                  </w:r>
                </w:p>
                <w:p w:rsidR="00950717" w:rsidRPr="00A01C1F" w:rsidRDefault="00591130" w:rsidP="00A01C1F">
                  <w:pPr>
                    <w:keepNext/>
                    <w:keepLines/>
                    <w:suppressAutoHyphens/>
                    <w:spacing w:before="240"/>
                    <w:ind w:right="318"/>
                    <w:jc w:val="both"/>
                    <w:rPr>
                      <w:b/>
                      <w:sz w:val="18"/>
                      <w:szCs w:val="18"/>
                      <w:lang w:val="en-GB"/>
                    </w:rPr>
                  </w:pPr>
                  <w:r w:rsidRPr="00A01C1F">
                    <w:rPr>
                      <w:b/>
                      <w:sz w:val="18"/>
                      <w:szCs w:val="18"/>
                      <w:lang w:val="en-GB"/>
                    </w:rPr>
                    <w:t xml:space="preserve">State of </w:t>
                  </w:r>
                  <w:r w:rsidR="00FA557C" w:rsidRPr="00A01C1F">
                    <w:rPr>
                      <w:b/>
                      <w:sz w:val="18"/>
                      <w:szCs w:val="18"/>
                      <w:lang w:val="en-GB"/>
                    </w:rPr>
                    <w:t>development</w:t>
                  </w:r>
                  <w:r w:rsidRPr="00A01C1F">
                    <w:rPr>
                      <w:b/>
                      <w:sz w:val="18"/>
                      <w:szCs w:val="18"/>
                      <w:lang w:val="en-GB"/>
                    </w:rPr>
                    <w:t xml:space="preserve"> / Innovative aspects and main advantages</w:t>
                  </w:r>
                </w:p>
                <w:tbl>
                  <w:tblPr>
                    <w:tblW w:w="4968" w:type="dxa"/>
                    <w:tblLook w:val="01E0"/>
                  </w:tblPr>
                  <w:tblGrid>
                    <w:gridCol w:w="4968"/>
                  </w:tblGrid>
                  <w:tr w:rsidR="00950717" w:rsidRPr="00A01C1F" w:rsidTr="00F250A9">
                    <w:tc>
                      <w:tcPr>
                        <w:tcW w:w="4968" w:type="dxa"/>
                        <w:tcMar>
                          <w:top w:w="85" w:type="dxa"/>
                          <w:bottom w:w="85" w:type="dxa"/>
                        </w:tcMar>
                        <w:vAlign w:val="center"/>
                      </w:tcPr>
                      <w:p w:rsidR="003665AA" w:rsidRDefault="003665AA" w:rsidP="00A01C1F">
                        <w:pPr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 xml:space="preserve">Le domaine de </w:t>
                        </w:r>
                        <w:r w:rsidR="000C56D9">
                          <w:rPr>
                            <w:i/>
                            <w:sz w:val="18"/>
                            <w:szCs w:val="18"/>
                          </w:rPr>
                          <w:t xml:space="preserve">la </w:t>
                        </w:r>
                        <w:r w:rsidR="00C66498">
                          <w:rPr>
                            <w:i/>
                            <w:sz w:val="18"/>
                            <w:szCs w:val="18"/>
                          </w:rPr>
                          <w:t>microélectronique</w:t>
                        </w:r>
                        <w:r w:rsidR="000C56D9"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>est une des spécialités de notre laboratoire, depuis de très nombreuses années. Nos réalisations sont installées dans plusieurs expériences majeures de physique (terrestres ou spatiales).</w:t>
                        </w:r>
                      </w:p>
                      <w:p w:rsidR="003665AA" w:rsidRDefault="003665AA" w:rsidP="00A01C1F">
                        <w:pPr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  <w:p w:rsidR="00C66498" w:rsidRDefault="003665AA" w:rsidP="00A01C1F">
                        <w:pPr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 xml:space="preserve">Nos </w:t>
                        </w:r>
                        <w:r w:rsidR="00C66498">
                          <w:rPr>
                            <w:i/>
                            <w:sz w:val="18"/>
                            <w:szCs w:val="18"/>
                          </w:rPr>
                          <w:t>compétences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 w:rsidR="006A0120">
                          <w:rPr>
                            <w:i/>
                            <w:sz w:val="18"/>
                            <w:szCs w:val="18"/>
                          </w:rPr>
                          <w:t>concernent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 xml:space="preserve"> notamment </w:t>
                        </w:r>
                        <w:r w:rsidR="00C66498">
                          <w:rPr>
                            <w:i/>
                            <w:sz w:val="18"/>
                            <w:szCs w:val="18"/>
                          </w:rPr>
                          <w:t>le développement d’</w:t>
                        </w:r>
                        <w:r w:rsidR="000C56D9">
                          <w:rPr>
                            <w:i/>
                            <w:sz w:val="18"/>
                            <w:szCs w:val="18"/>
                          </w:rPr>
                          <w:t xml:space="preserve">ASICs numériques, analogiques ou mixtes. Nous avons en particulier une </w:t>
                        </w:r>
                        <w:r w:rsidR="00C66498">
                          <w:rPr>
                            <w:i/>
                            <w:sz w:val="18"/>
                            <w:szCs w:val="18"/>
                          </w:rPr>
                          <w:t>très</w:t>
                        </w:r>
                        <w:r w:rsidR="000C56D9">
                          <w:rPr>
                            <w:i/>
                            <w:sz w:val="18"/>
                            <w:szCs w:val="18"/>
                          </w:rPr>
                          <w:t xml:space="preserve"> bonne maitrise des signaux faible bruit,</w:t>
                        </w:r>
                        <w:r w:rsidR="00B73438"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 w:rsidR="000C56D9">
                          <w:rPr>
                            <w:i/>
                            <w:sz w:val="18"/>
                            <w:szCs w:val="18"/>
                          </w:rPr>
                          <w:t>grande dynamique</w:t>
                        </w:r>
                        <w:r w:rsidR="00C66498">
                          <w:rPr>
                            <w:i/>
                            <w:sz w:val="18"/>
                            <w:szCs w:val="18"/>
                          </w:rPr>
                          <w:t>,</w:t>
                        </w:r>
                        <w:r w:rsidR="000C56D9">
                          <w:rPr>
                            <w:i/>
                            <w:sz w:val="18"/>
                            <w:szCs w:val="18"/>
                          </w:rPr>
                          <w:t xml:space="preserve"> de la </w:t>
                        </w:r>
                        <w:r w:rsidR="00C66498">
                          <w:rPr>
                            <w:i/>
                            <w:sz w:val="18"/>
                            <w:szCs w:val="18"/>
                          </w:rPr>
                          <w:t xml:space="preserve">très </w:t>
                        </w:r>
                        <w:r w:rsidR="000C56D9">
                          <w:rPr>
                            <w:i/>
                            <w:sz w:val="18"/>
                            <w:szCs w:val="18"/>
                          </w:rPr>
                          <w:t xml:space="preserve">basse consommation et de la tenue aux radiations. </w:t>
                        </w:r>
                      </w:p>
                      <w:p w:rsidR="00C66498" w:rsidRDefault="00C66498" w:rsidP="00A01C1F">
                        <w:pPr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  <w:p w:rsidR="00EC1484" w:rsidRDefault="00EC1484" w:rsidP="00A01C1F">
                        <w:pPr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Voici quelques exemples d’ASICs que nous avons tout ou partiellement développés : Lecture de photomultiplicateur multi</w:t>
                        </w:r>
                        <w:r w:rsidR="00A72373">
                          <w:rPr>
                            <w:i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>anodes et de détecteurs type MicroMégas avec traitement numérique intégré, esclave I2C, power on reset, …</w:t>
                        </w:r>
                      </w:p>
                      <w:p w:rsidR="00EC1484" w:rsidRDefault="00EC1484" w:rsidP="00A01C1F">
                        <w:pPr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Nous utilisons les technologies suivantes : CMO</w:t>
                        </w:r>
                        <w:r w:rsidR="00A72373">
                          <w:rPr>
                            <w:i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 xml:space="preserve"> 0.35 um, AMS SiGe 0.35um, </w:t>
                        </w:r>
                        <w:r w:rsidR="001A64B3">
                          <w:rPr>
                            <w:i/>
                            <w:sz w:val="18"/>
                            <w:szCs w:val="18"/>
                          </w:rPr>
                          <w:t>IBM 130 nm</w:t>
                        </w:r>
                      </w:p>
                      <w:p w:rsidR="005349FB" w:rsidRPr="005E03C1" w:rsidRDefault="005E03C1" w:rsidP="00A01C1F">
                        <w:pPr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950717" w:rsidRPr="00A01C1F" w:rsidRDefault="00591130" w:rsidP="00A01C1F">
                  <w:pPr>
                    <w:keepNext/>
                    <w:keepLines/>
                    <w:suppressAutoHyphens/>
                    <w:spacing w:before="240"/>
                    <w:ind w:right="318"/>
                    <w:jc w:val="both"/>
                    <w:rPr>
                      <w:b/>
                      <w:sz w:val="18"/>
                      <w:szCs w:val="18"/>
                      <w:lang w:val="en-GB"/>
                    </w:rPr>
                  </w:pPr>
                  <w:r w:rsidRPr="00A01C1F">
                    <w:rPr>
                      <w:b/>
                      <w:sz w:val="18"/>
                      <w:szCs w:val="18"/>
                      <w:lang w:val="en-GB"/>
                    </w:rPr>
                    <w:t>Fields of application / Potential commercial applications</w:t>
                  </w:r>
                </w:p>
                <w:tbl>
                  <w:tblPr>
                    <w:tblW w:w="4968" w:type="dxa"/>
                    <w:tblLook w:val="01E0"/>
                  </w:tblPr>
                  <w:tblGrid>
                    <w:gridCol w:w="4968"/>
                  </w:tblGrid>
                  <w:tr w:rsidR="00950717" w:rsidRPr="00A01C1F" w:rsidTr="00F250A9">
                    <w:tc>
                      <w:tcPr>
                        <w:tcW w:w="4968" w:type="dxa"/>
                        <w:tcMar>
                          <w:top w:w="85" w:type="dxa"/>
                          <w:bottom w:w="85" w:type="dxa"/>
                        </w:tcMar>
                        <w:vAlign w:val="center"/>
                      </w:tcPr>
                      <w:p w:rsidR="00950717" w:rsidRPr="00A01C1F" w:rsidRDefault="005349FB" w:rsidP="00A01C1F">
                        <w:pPr>
                          <w:keepNext/>
                          <w:keepLines/>
                          <w:suppressAutoHyphens/>
                          <w:ind w:right="318"/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  <w:r w:rsidRPr="00A01C1F">
                          <w:rPr>
                            <w:i/>
                            <w:sz w:val="18"/>
                            <w:szCs w:val="18"/>
                          </w:rPr>
                          <w:t>Domaines d'application</w:t>
                        </w:r>
                      </w:p>
                      <w:p w:rsidR="00923CD5" w:rsidRDefault="00923CD5" w:rsidP="00923CD5">
                        <w:pPr>
                          <w:keepNext/>
                          <w:keepLines/>
                          <w:numPr>
                            <w:ilvl w:val="0"/>
                            <w:numId w:val="4"/>
                          </w:numPr>
                          <w:suppressAutoHyphens/>
                          <w:ind w:right="318"/>
                          <w:jc w:val="both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Traitement de l’image et du son</w:t>
                        </w:r>
                      </w:p>
                      <w:p w:rsidR="00923CD5" w:rsidRDefault="00923CD5" w:rsidP="00923CD5">
                        <w:pPr>
                          <w:keepNext/>
                          <w:keepLines/>
                          <w:numPr>
                            <w:ilvl w:val="0"/>
                            <w:numId w:val="4"/>
                          </w:numPr>
                          <w:suppressAutoHyphens/>
                          <w:ind w:right="318"/>
                          <w:jc w:val="both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Compression de données</w:t>
                        </w:r>
                      </w:p>
                      <w:p w:rsidR="005349FB" w:rsidRPr="001A64B3" w:rsidRDefault="00923CD5" w:rsidP="00923CD5">
                        <w:pPr>
                          <w:keepNext/>
                          <w:keepLines/>
                          <w:numPr>
                            <w:ilvl w:val="0"/>
                            <w:numId w:val="4"/>
                          </w:numPr>
                          <w:suppressAutoHyphens/>
                          <w:ind w:right="318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Télécommunications</w:t>
                        </w:r>
                      </w:p>
                      <w:p w:rsidR="001A64B3" w:rsidRPr="001A64B3" w:rsidRDefault="001A64B3" w:rsidP="001A64B3">
                        <w:pPr>
                          <w:keepNext/>
                          <w:keepLines/>
                          <w:numPr>
                            <w:ilvl w:val="0"/>
                            <w:numId w:val="4"/>
                          </w:numPr>
                          <w:suppressAutoHyphens/>
                          <w:ind w:right="318"/>
                          <w:jc w:val="both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Imagerie médicale</w:t>
                        </w:r>
                      </w:p>
                    </w:tc>
                  </w:tr>
                </w:tbl>
                <w:p w:rsidR="00950717" w:rsidRPr="00A01C1F" w:rsidRDefault="00026BCF" w:rsidP="00A01C1F">
                  <w:pPr>
                    <w:keepNext/>
                    <w:keepLines/>
                    <w:suppressAutoHyphens/>
                    <w:spacing w:before="240"/>
                    <w:ind w:right="318"/>
                    <w:jc w:val="both"/>
                    <w:rPr>
                      <w:b/>
                      <w:sz w:val="18"/>
                      <w:szCs w:val="18"/>
                    </w:rPr>
                  </w:pPr>
                  <w:r w:rsidRPr="00A01C1F">
                    <w:rPr>
                      <w:b/>
                      <w:sz w:val="18"/>
                      <w:szCs w:val="18"/>
                    </w:rPr>
                    <w:t>Other applicants</w:t>
                  </w:r>
                </w:p>
                <w:tbl>
                  <w:tblPr>
                    <w:tblW w:w="4968" w:type="dxa"/>
                    <w:tblLook w:val="01E0"/>
                  </w:tblPr>
                  <w:tblGrid>
                    <w:gridCol w:w="4968"/>
                  </w:tblGrid>
                  <w:tr w:rsidR="00950717" w:rsidRPr="00A01C1F" w:rsidTr="00F250A9">
                    <w:tc>
                      <w:tcPr>
                        <w:tcW w:w="4968" w:type="dxa"/>
                        <w:tcMar>
                          <w:top w:w="85" w:type="dxa"/>
                          <w:bottom w:w="85" w:type="dxa"/>
                        </w:tcMar>
                        <w:vAlign w:val="center"/>
                      </w:tcPr>
                      <w:p w:rsidR="00950717" w:rsidRPr="00A01C1F" w:rsidRDefault="00923CD5" w:rsidP="00923CD5">
                        <w:pPr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Le LAPP collabore avec MIND, groupement d’intérêt public pour le développement de l’électronique et de la microélectronique dans l’industrie.</w:t>
                        </w:r>
                      </w:p>
                    </w:tc>
                  </w:tr>
                </w:tbl>
                <w:p w:rsidR="00FA08C4" w:rsidRPr="00A01C1F" w:rsidRDefault="00FA08C4" w:rsidP="00A01C1F">
                  <w:pPr>
                    <w:keepNext/>
                    <w:keepLines/>
                    <w:suppressAutoHyphens/>
                    <w:ind w:right="318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A08C4" w:rsidRDefault="00FA08C4" w:rsidP="00560918"/>
        </w:tc>
      </w:tr>
    </w:tbl>
    <w:p w:rsidR="00FA08C4" w:rsidRDefault="00FA08C4" w:rsidP="00A551C5">
      <w:pPr>
        <w:ind w:right="-1008"/>
      </w:pPr>
    </w:p>
    <w:sectPr w:rsidR="00FA08C4" w:rsidSect="00B904B0">
      <w:pgSz w:w="11906" w:h="16838" w:code="9"/>
      <w:pgMar w:top="240" w:right="1418" w:bottom="24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05EB"/>
    <w:multiLevelType w:val="hybridMultilevel"/>
    <w:tmpl w:val="935246EE"/>
    <w:lvl w:ilvl="0" w:tplc="93BE4F6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3D7110"/>
    <w:multiLevelType w:val="hybridMultilevel"/>
    <w:tmpl w:val="8A3A4824"/>
    <w:lvl w:ilvl="0" w:tplc="93BE4F6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240E2A"/>
    <w:multiLevelType w:val="hybridMultilevel"/>
    <w:tmpl w:val="03A8B8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5FE74DE"/>
    <w:multiLevelType w:val="hybridMultilevel"/>
    <w:tmpl w:val="84F65A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8C4"/>
    <w:rsid w:val="00003F10"/>
    <w:rsid w:val="00005C30"/>
    <w:rsid w:val="00007FB4"/>
    <w:rsid w:val="00026BCF"/>
    <w:rsid w:val="00043F7E"/>
    <w:rsid w:val="00062385"/>
    <w:rsid w:val="000B2D26"/>
    <w:rsid w:val="000C56D9"/>
    <w:rsid w:val="001A64B3"/>
    <w:rsid w:val="001B2DFC"/>
    <w:rsid w:val="001D5D62"/>
    <w:rsid w:val="00222D24"/>
    <w:rsid w:val="00236A07"/>
    <w:rsid w:val="00240DDC"/>
    <w:rsid w:val="002553BC"/>
    <w:rsid w:val="0028414A"/>
    <w:rsid w:val="00292E3A"/>
    <w:rsid w:val="002F24F1"/>
    <w:rsid w:val="003105CE"/>
    <w:rsid w:val="003665AA"/>
    <w:rsid w:val="003D36B9"/>
    <w:rsid w:val="0040252B"/>
    <w:rsid w:val="0042203A"/>
    <w:rsid w:val="004F4AC1"/>
    <w:rsid w:val="005271C0"/>
    <w:rsid w:val="005349FB"/>
    <w:rsid w:val="00536B75"/>
    <w:rsid w:val="005570D4"/>
    <w:rsid w:val="00560918"/>
    <w:rsid w:val="00591130"/>
    <w:rsid w:val="005E03C1"/>
    <w:rsid w:val="006342AA"/>
    <w:rsid w:val="006A0120"/>
    <w:rsid w:val="006A0455"/>
    <w:rsid w:val="006C09D6"/>
    <w:rsid w:val="006C4A46"/>
    <w:rsid w:val="00700663"/>
    <w:rsid w:val="00722D24"/>
    <w:rsid w:val="0074715D"/>
    <w:rsid w:val="00762217"/>
    <w:rsid w:val="00803353"/>
    <w:rsid w:val="0085091C"/>
    <w:rsid w:val="00864642"/>
    <w:rsid w:val="00867108"/>
    <w:rsid w:val="00884CCD"/>
    <w:rsid w:val="00893CCD"/>
    <w:rsid w:val="00896E19"/>
    <w:rsid w:val="008A1079"/>
    <w:rsid w:val="008C7002"/>
    <w:rsid w:val="008D6A45"/>
    <w:rsid w:val="00923CD5"/>
    <w:rsid w:val="0094255A"/>
    <w:rsid w:val="00950717"/>
    <w:rsid w:val="009851EC"/>
    <w:rsid w:val="009A131A"/>
    <w:rsid w:val="009D3234"/>
    <w:rsid w:val="009F3E3E"/>
    <w:rsid w:val="00A01C1F"/>
    <w:rsid w:val="00A30D3A"/>
    <w:rsid w:val="00A551C5"/>
    <w:rsid w:val="00A72373"/>
    <w:rsid w:val="00AB42EE"/>
    <w:rsid w:val="00AE7FC7"/>
    <w:rsid w:val="00B73438"/>
    <w:rsid w:val="00B86E89"/>
    <w:rsid w:val="00B904B0"/>
    <w:rsid w:val="00BB167D"/>
    <w:rsid w:val="00BE1455"/>
    <w:rsid w:val="00C626B9"/>
    <w:rsid w:val="00C66498"/>
    <w:rsid w:val="00C743C1"/>
    <w:rsid w:val="00C83D8B"/>
    <w:rsid w:val="00D26388"/>
    <w:rsid w:val="00D33E38"/>
    <w:rsid w:val="00D436A3"/>
    <w:rsid w:val="00E15A2E"/>
    <w:rsid w:val="00E93F17"/>
    <w:rsid w:val="00EC1484"/>
    <w:rsid w:val="00F04C29"/>
    <w:rsid w:val="00F250A9"/>
    <w:rsid w:val="00F42FB6"/>
    <w:rsid w:val="00FA08C4"/>
    <w:rsid w:val="00FA280F"/>
    <w:rsid w:val="00FA557C"/>
    <w:rsid w:val="00FB0B35"/>
    <w:rsid w:val="00FB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8C4"/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A08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FA08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pp.in2p3.f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pp.in2p3.fr/valorisati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ollet@lapp.in2p3.f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partenariat.industriel@in2p3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IN2P3 – Valorisation et partenariats industriels</vt:lpstr>
    </vt:vector>
  </TitlesOfParts>
  <Company>CNRS</Company>
  <LinksUpToDate>false</LinksUpToDate>
  <CharactersWithSpaces>3177</CharactersWithSpaces>
  <SharedDoc>false</SharedDoc>
  <HLinks>
    <vt:vector size="12" baseType="variant">
      <vt:variant>
        <vt:i4>1179752</vt:i4>
      </vt:variant>
      <vt:variant>
        <vt:i4>3</vt:i4>
      </vt:variant>
      <vt:variant>
        <vt:i4>0</vt:i4>
      </vt:variant>
      <vt:variant>
        <vt:i4>5</vt:i4>
      </vt:variant>
      <vt:variant>
        <vt:lpwstr>mailto:partenariat.industriel@in2p3.fr</vt:lpwstr>
      </vt:variant>
      <vt:variant>
        <vt:lpwstr/>
      </vt:variant>
      <vt:variant>
        <vt:i4>393332</vt:i4>
      </vt:variant>
      <vt:variant>
        <vt:i4>0</vt:i4>
      </vt:variant>
      <vt:variant>
        <vt:i4>0</vt:i4>
      </vt:variant>
      <vt:variant>
        <vt:i4>5</vt:i4>
      </vt:variant>
      <vt:variant>
        <vt:lpwstr>mailto:chollet@lapp.in2p3.fr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IN2P3 – Valorisation et partenariats industriels</dc:title>
  <dc:subject/>
  <dc:creator>PMA-SSI</dc:creator>
  <cp:keywords/>
  <dc:description/>
  <cp:lastModifiedBy>prast</cp:lastModifiedBy>
  <cp:revision>11</cp:revision>
  <cp:lastPrinted>2011-03-11T15:24:00Z</cp:lastPrinted>
  <dcterms:created xsi:type="dcterms:W3CDTF">2010-11-26T07:55:00Z</dcterms:created>
  <dcterms:modified xsi:type="dcterms:W3CDTF">2011-03-14T13:15:00Z</dcterms:modified>
</cp:coreProperties>
</file>