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61" w:rsidRDefault="009F3E3E" w:rsidP="00BE1455">
      <w:pPr>
        <w:pBdr>
          <w:bottom w:val="single" w:sz="4" w:space="1" w:color="auto"/>
        </w:pBdr>
        <w:ind w:left="-540"/>
      </w:pPr>
      <w:r>
        <w:t xml:space="preserve">                                                                                                            </w:t>
      </w:r>
    </w:p>
    <w:p w:rsidR="00FA08C4" w:rsidRDefault="00FA08C4" w:rsidP="00BE1455">
      <w:pPr>
        <w:pBdr>
          <w:bottom w:val="single" w:sz="4" w:space="1" w:color="auto"/>
        </w:pBdr>
        <w:ind w:left="-540"/>
      </w:pPr>
      <w:r w:rsidRPr="009F3E3E">
        <w:rPr>
          <w:b/>
        </w:rPr>
        <w:t>IN2P3 – Valorisation et partenariats industriels</w:t>
      </w:r>
      <w:r w:rsidR="009F3E3E">
        <w:t xml:space="preserve">                                        </w:t>
      </w:r>
      <w:r w:rsidR="00E85F70">
        <w:rPr>
          <w:noProof/>
        </w:rPr>
        <w:drawing>
          <wp:inline distT="0" distB="0" distL="0" distR="0">
            <wp:extent cx="1022985" cy="565785"/>
            <wp:effectExtent l="1905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22985" cy="565785"/>
                    </a:xfrm>
                    <a:prstGeom prst="rect">
                      <a:avLst/>
                    </a:prstGeom>
                    <a:noFill/>
                    <a:ln w="9525">
                      <a:noFill/>
                      <a:miter lim="800000"/>
                      <a:headEnd/>
                      <a:tailEnd/>
                    </a:ln>
                  </pic:spPr>
                </pic:pic>
              </a:graphicData>
            </a:graphic>
          </wp:inline>
        </w:drawing>
      </w:r>
    </w:p>
    <w:p w:rsidR="009F3E3E" w:rsidRPr="00560918" w:rsidRDefault="009F3E3E" w:rsidP="00BE1455">
      <w:pPr>
        <w:pBdr>
          <w:bottom w:val="single" w:sz="4" w:space="1" w:color="auto"/>
        </w:pBdr>
        <w:ind w:left="-540"/>
      </w:pPr>
    </w:p>
    <w:p w:rsidR="00FA08C4" w:rsidRPr="00536B75" w:rsidRDefault="002F24F1" w:rsidP="00536B75">
      <w:pPr>
        <w:spacing w:before="120"/>
        <w:ind w:left="-539"/>
        <w:rPr>
          <w:b/>
        </w:rPr>
      </w:pPr>
      <w:r>
        <w:rPr>
          <w:b/>
        </w:rPr>
        <w:t>Transfert de technologies et savoir faire – Knowledge &amp; Technology Transfer</w:t>
      </w:r>
    </w:p>
    <w:p w:rsidR="00FB6061" w:rsidRPr="00C931F4" w:rsidRDefault="00FB6061" w:rsidP="00560918">
      <w:pPr>
        <w:rPr>
          <w:sz w:val="20"/>
          <w:szCs w:val="20"/>
        </w:rPr>
      </w:pPr>
    </w:p>
    <w:p w:rsidR="002553BC" w:rsidRPr="00536B75" w:rsidRDefault="00E15A2E" w:rsidP="00536B75">
      <w:pPr>
        <w:ind w:left="-540" w:right="203"/>
        <w:rPr>
          <w:b/>
          <w:sz w:val="32"/>
          <w:szCs w:val="32"/>
        </w:rPr>
      </w:pPr>
      <w:r>
        <w:rPr>
          <w:b/>
          <w:sz w:val="32"/>
          <w:szCs w:val="32"/>
        </w:rPr>
        <w:t>LICENSING</w:t>
      </w:r>
      <w:r w:rsidR="005570D4">
        <w:rPr>
          <w:b/>
          <w:sz w:val="32"/>
          <w:szCs w:val="32"/>
        </w:rPr>
        <w:t xml:space="preserve"> / COLLABORATION</w:t>
      </w:r>
      <w:r>
        <w:rPr>
          <w:b/>
          <w:sz w:val="32"/>
          <w:szCs w:val="32"/>
        </w:rPr>
        <w:t xml:space="preserve"> OPPORTUNITY</w:t>
      </w:r>
    </w:p>
    <w:p w:rsidR="002553BC" w:rsidRPr="00536B75" w:rsidRDefault="00A2582A" w:rsidP="00536B75">
      <w:pPr>
        <w:ind w:left="-540" w:right="203"/>
        <w:rPr>
          <w:b/>
          <w:i/>
          <w:szCs w:val="32"/>
        </w:rPr>
      </w:pPr>
      <w:r>
        <w:rPr>
          <w:b/>
          <w:i/>
        </w:rPr>
        <w:t>Instrumentation des tests et mesures pour les détecteurs de particules</w:t>
      </w:r>
    </w:p>
    <w:p w:rsidR="00FA08C4" w:rsidRPr="00884CCD" w:rsidRDefault="00FA08C4" w:rsidP="00560918">
      <w:pPr>
        <w:ind w:left="-540" w:right="203"/>
        <w:rPr>
          <w:b/>
          <w:i/>
          <w:sz w:val="16"/>
          <w:szCs w:val="16"/>
        </w:rPr>
      </w:pPr>
    </w:p>
    <w:tbl>
      <w:tblPr>
        <w:tblW w:w="10800" w:type="dxa"/>
        <w:tblInd w:w="-470" w:type="dxa"/>
        <w:tblLayout w:type="fixed"/>
        <w:tblCellMar>
          <w:left w:w="70" w:type="dxa"/>
          <w:right w:w="70" w:type="dxa"/>
        </w:tblCellMar>
        <w:tblLook w:val="0000"/>
      </w:tblPr>
      <w:tblGrid>
        <w:gridCol w:w="10800"/>
      </w:tblGrid>
      <w:tr w:rsidR="00FA08C4">
        <w:tc>
          <w:tcPr>
            <w:tcW w:w="10800" w:type="dxa"/>
          </w:tcPr>
          <w:p w:rsidR="00FB6061" w:rsidRPr="00884CCD" w:rsidRDefault="00FB6061">
            <w:pPr>
              <w:rPr>
                <w:sz w:val="16"/>
                <w:szCs w:val="16"/>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9"/>
              <w:gridCol w:w="5760"/>
            </w:tblGrid>
            <w:tr w:rsidR="00560918" w:rsidRPr="00FB6061" w:rsidTr="005E7793">
              <w:trPr>
                <w:trHeight w:val="11713"/>
              </w:trPr>
              <w:tc>
                <w:tcPr>
                  <w:tcW w:w="2270" w:type="pct"/>
                  <w:tcBorders>
                    <w:top w:val="nil"/>
                    <w:left w:val="nil"/>
                    <w:bottom w:val="nil"/>
                    <w:right w:val="nil"/>
                  </w:tcBorders>
                </w:tcPr>
                <w:p w:rsidR="00BE1455" w:rsidRPr="005E7793" w:rsidRDefault="002F24F1" w:rsidP="005E7793">
                  <w:pPr>
                    <w:widowControl w:val="0"/>
                    <w:spacing w:before="240"/>
                    <w:jc w:val="both"/>
                    <w:rPr>
                      <w:b/>
                      <w:sz w:val="18"/>
                      <w:szCs w:val="18"/>
                    </w:rPr>
                  </w:pPr>
                  <w:r w:rsidRPr="005E7793">
                    <w:rPr>
                      <w:b/>
                      <w:sz w:val="18"/>
                      <w:szCs w:val="18"/>
                    </w:rPr>
                    <w:t>Refe</w:t>
                  </w:r>
                  <w:r w:rsidR="00FB6061" w:rsidRPr="005E7793">
                    <w:rPr>
                      <w:b/>
                      <w:sz w:val="18"/>
                      <w:szCs w:val="18"/>
                    </w:rPr>
                    <w:t xml:space="preserve">rences </w:t>
                  </w:r>
                </w:p>
                <w:tbl>
                  <w:tblPr>
                    <w:tblW w:w="0" w:type="auto"/>
                    <w:tblLayout w:type="fixed"/>
                    <w:tblLook w:val="01E0"/>
                  </w:tblPr>
                  <w:tblGrid>
                    <w:gridCol w:w="4500"/>
                  </w:tblGrid>
                  <w:tr w:rsidR="00BE1455" w:rsidRPr="005E7793" w:rsidTr="005E7793">
                    <w:tc>
                      <w:tcPr>
                        <w:tcW w:w="4500" w:type="dxa"/>
                        <w:tcMar>
                          <w:top w:w="85" w:type="dxa"/>
                          <w:bottom w:w="85" w:type="dxa"/>
                        </w:tcMar>
                        <w:vAlign w:val="center"/>
                      </w:tcPr>
                      <w:p w:rsidR="006A0455" w:rsidRPr="005E7793" w:rsidRDefault="006A0455" w:rsidP="005E7793">
                        <w:pPr>
                          <w:widowControl w:val="0"/>
                          <w:jc w:val="both"/>
                          <w:rPr>
                            <w:bCs/>
                            <w:sz w:val="18"/>
                            <w:szCs w:val="18"/>
                            <w:lang w:val="en-GB"/>
                          </w:rPr>
                        </w:pPr>
                        <w:r w:rsidRPr="005E7793">
                          <w:rPr>
                            <w:bCs/>
                            <w:sz w:val="18"/>
                            <w:szCs w:val="18"/>
                            <w:lang w:val="en-GB"/>
                          </w:rPr>
                          <w:t>IN2P3: 21040901</w:t>
                        </w:r>
                      </w:p>
                      <w:p w:rsidR="00BE1455" w:rsidRPr="005E7793" w:rsidRDefault="006A0455" w:rsidP="005E7793">
                        <w:pPr>
                          <w:widowControl w:val="0"/>
                          <w:jc w:val="both"/>
                          <w:rPr>
                            <w:bCs/>
                            <w:sz w:val="18"/>
                            <w:szCs w:val="18"/>
                            <w:lang w:val="en-GB"/>
                          </w:rPr>
                        </w:pPr>
                        <w:r w:rsidRPr="005E7793">
                          <w:rPr>
                            <w:bCs/>
                            <w:sz w:val="18"/>
                            <w:szCs w:val="18"/>
                            <w:lang w:val="en-GB"/>
                          </w:rPr>
                          <w:t xml:space="preserve">Others: </w:t>
                        </w:r>
                      </w:p>
                    </w:tc>
                  </w:tr>
                </w:tbl>
                <w:p w:rsidR="00026BCF" w:rsidRPr="005E7793" w:rsidRDefault="00026BCF" w:rsidP="005E7793">
                  <w:pPr>
                    <w:keepNext/>
                    <w:keepLines/>
                    <w:suppressAutoHyphens/>
                    <w:spacing w:before="240"/>
                    <w:ind w:right="318"/>
                    <w:jc w:val="both"/>
                    <w:rPr>
                      <w:b/>
                      <w:sz w:val="18"/>
                      <w:szCs w:val="18"/>
                      <w:lang w:val="en-GB"/>
                    </w:rPr>
                  </w:pPr>
                  <w:r w:rsidRPr="005E7793">
                    <w:rPr>
                      <w:b/>
                      <w:sz w:val="18"/>
                      <w:szCs w:val="18"/>
                      <w:lang w:val="en-GB"/>
                    </w:rPr>
                    <w:t xml:space="preserve">Description </w:t>
                  </w:r>
                </w:p>
                <w:tbl>
                  <w:tblPr>
                    <w:tblW w:w="4968" w:type="dxa"/>
                    <w:tblLayout w:type="fixed"/>
                    <w:tblLook w:val="01E0"/>
                  </w:tblPr>
                  <w:tblGrid>
                    <w:gridCol w:w="4968"/>
                  </w:tblGrid>
                  <w:tr w:rsidR="00026BCF" w:rsidRPr="005E7793" w:rsidTr="005E7793">
                    <w:tc>
                      <w:tcPr>
                        <w:tcW w:w="4968" w:type="dxa"/>
                        <w:tcMar>
                          <w:top w:w="85" w:type="dxa"/>
                          <w:bottom w:w="85" w:type="dxa"/>
                        </w:tcMar>
                        <w:vAlign w:val="center"/>
                      </w:tcPr>
                      <w:p w:rsidR="00257750" w:rsidRDefault="00A2582A" w:rsidP="00A2582A">
                        <w:pPr>
                          <w:jc w:val="both"/>
                          <w:rPr>
                            <w:iCs/>
                            <w:sz w:val="18"/>
                            <w:szCs w:val="18"/>
                          </w:rPr>
                        </w:pPr>
                        <w:r>
                          <w:rPr>
                            <w:iCs/>
                            <w:sz w:val="18"/>
                            <w:szCs w:val="18"/>
                          </w:rPr>
                          <w:t xml:space="preserve">Automatisation de bancs de tests allant de la </w:t>
                        </w:r>
                      </w:p>
                      <w:p w:rsidR="00257750" w:rsidRDefault="00A2582A" w:rsidP="00A2582A">
                        <w:pPr>
                          <w:jc w:val="both"/>
                          <w:rPr>
                            <w:iCs/>
                            <w:sz w:val="18"/>
                            <w:szCs w:val="18"/>
                          </w:rPr>
                        </w:pPr>
                        <w:r>
                          <w:rPr>
                            <w:iCs/>
                            <w:sz w:val="18"/>
                            <w:szCs w:val="18"/>
                          </w:rPr>
                          <w:t xml:space="preserve">conception à la validation, jusqu’à la </w:t>
                        </w:r>
                      </w:p>
                      <w:p w:rsidR="00257750" w:rsidRDefault="00A2582A" w:rsidP="00A2582A">
                        <w:pPr>
                          <w:jc w:val="both"/>
                          <w:rPr>
                            <w:iCs/>
                            <w:sz w:val="18"/>
                            <w:szCs w:val="18"/>
                          </w:rPr>
                        </w:pPr>
                        <w:r>
                          <w:rPr>
                            <w:iCs/>
                            <w:sz w:val="18"/>
                            <w:szCs w:val="18"/>
                          </w:rPr>
                          <w:t>qualification d’</w:t>
                        </w:r>
                        <w:r w:rsidR="00257750">
                          <w:rPr>
                            <w:iCs/>
                            <w:sz w:val="18"/>
                            <w:szCs w:val="18"/>
                          </w:rPr>
                          <w:t>appareillages</w:t>
                        </w:r>
                        <w:r>
                          <w:rPr>
                            <w:iCs/>
                            <w:sz w:val="18"/>
                            <w:szCs w:val="18"/>
                          </w:rPr>
                          <w:t xml:space="preserve"> complexes en physique</w:t>
                        </w:r>
                      </w:p>
                      <w:p w:rsidR="00026BCF" w:rsidRPr="005E7793" w:rsidRDefault="00A2582A" w:rsidP="00A2582A">
                        <w:pPr>
                          <w:jc w:val="both"/>
                          <w:rPr>
                            <w:sz w:val="18"/>
                            <w:szCs w:val="18"/>
                          </w:rPr>
                        </w:pPr>
                        <w:r>
                          <w:rPr>
                            <w:iCs/>
                            <w:sz w:val="18"/>
                            <w:szCs w:val="18"/>
                          </w:rPr>
                          <w:t xml:space="preserve"> des hautes énergies</w:t>
                        </w:r>
                        <w:r w:rsidR="00026BCF" w:rsidRPr="005E7793">
                          <w:rPr>
                            <w:sz w:val="18"/>
                            <w:szCs w:val="18"/>
                          </w:rPr>
                          <w:t xml:space="preserve">. </w:t>
                        </w:r>
                      </w:p>
                    </w:tc>
                  </w:tr>
                </w:tbl>
                <w:p w:rsidR="00BE1455" w:rsidRPr="005E7793" w:rsidRDefault="002F24F1" w:rsidP="005E7793">
                  <w:pPr>
                    <w:widowControl w:val="0"/>
                    <w:spacing w:before="240"/>
                    <w:jc w:val="both"/>
                    <w:rPr>
                      <w:b/>
                      <w:sz w:val="18"/>
                      <w:szCs w:val="18"/>
                      <w:lang w:val="en-GB"/>
                    </w:rPr>
                  </w:pPr>
                  <w:r w:rsidRPr="005E7793">
                    <w:rPr>
                      <w:b/>
                      <w:sz w:val="18"/>
                      <w:szCs w:val="18"/>
                      <w:lang w:val="en-GB"/>
                    </w:rPr>
                    <w:t>Technology and/or</w:t>
                  </w:r>
                  <w:r w:rsidR="004F4AC1" w:rsidRPr="005E7793">
                    <w:rPr>
                      <w:b/>
                      <w:sz w:val="18"/>
                      <w:szCs w:val="18"/>
                      <w:lang w:val="en-GB"/>
                    </w:rPr>
                    <w:t xml:space="preserve"> </w:t>
                  </w:r>
                  <w:r w:rsidRPr="005E7793">
                    <w:rPr>
                      <w:b/>
                      <w:sz w:val="18"/>
                      <w:szCs w:val="18"/>
                      <w:lang w:val="en-GB"/>
                    </w:rPr>
                    <w:t xml:space="preserve">Application </w:t>
                  </w:r>
                  <w:r w:rsidR="00591130" w:rsidRPr="005E7793">
                    <w:rPr>
                      <w:b/>
                      <w:sz w:val="18"/>
                      <w:szCs w:val="18"/>
                      <w:lang w:val="en-GB"/>
                    </w:rPr>
                    <w:t>Domain</w:t>
                  </w:r>
                  <w:r w:rsidR="00FB6061" w:rsidRPr="005E7793">
                    <w:rPr>
                      <w:b/>
                      <w:sz w:val="18"/>
                      <w:szCs w:val="18"/>
                      <w:lang w:val="en-GB"/>
                    </w:rPr>
                    <w:t>(s)</w:t>
                  </w:r>
                  <w:r w:rsidR="0040252B" w:rsidRPr="005E7793">
                    <w:rPr>
                      <w:b/>
                      <w:sz w:val="18"/>
                      <w:szCs w:val="18"/>
                      <w:lang w:val="en-GB"/>
                    </w:rPr>
                    <w:t xml:space="preserve"> </w:t>
                  </w:r>
                </w:p>
                <w:tbl>
                  <w:tblPr>
                    <w:tblW w:w="4500" w:type="dxa"/>
                    <w:tblLayout w:type="fixed"/>
                    <w:tblLook w:val="01E0"/>
                  </w:tblPr>
                  <w:tblGrid>
                    <w:gridCol w:w="4500"/>
                  </w:tblGrid>
                  <w:tr w:rsidR="00BE1455" w:rsidRPr="005E7793" w:rsidTr="005E7793">
                    <w:tc>
                      <w:tcPr>
                        <w:tcW w:w="4500" w:type="dxa"/>
                        <w:tcMar>
                          <w:top w:w="85" w:type="dxa"/>
                          <w:bottom w:w="85" w:type="dxa"/>
                        </w:tcMar>
                        <w:vAlign w:val="center"/>
                      </w:tcPr>
                      <w:p w:rsidR="00AC3840" w:rsidRPr="005E7793" w:rsidRDefault="00AC3840" w:rsidP="00AC3840">
                        <w:pPr>
                          <w:jc w:val="both"/>
                          <w:rPr>
                            <w:iCs/>
                            <w:sz w:val="18"/>
                            <w:szCs w:val="18"/>
                          </w:rPr>
                        </w:pPr>
                        <w:r>
                          <w:rPr>
                            <w:iCs/>
                            <w:sz w:val="18"/>
                            <w:szCs w:val="18"/>
                          </w:rPr>
                          <w:t>Bancs de tests automatiques – Acquisition et traitement de données – Slow control pour les accélérateurs pour l’</w:t>
                        </w:r>
                        <w:r w:rsidR="00B20262">
                          <w:rPr>
                            <w:iCs/>
                            <w:sz w:val="18"/>
                            <w:szCs w:val="18"/>
                          </w:rPr>
                          <w:t>e</w:t>
                        </w:r>
                        <w:r>
                          <w:rPr>
                            <w:iCs/>
                            <w:sz w:val="18"/>
                            <w:szCs w:val="18"/>
                          </w:rPr>
                          <w:t>xpérimentation en physique des particules et en astrophysique.</w:t>
                        </w:r>
                      </w:p>
                      <w:p w:rsidR="00BE1455" w:rsidRPr="005E7793" w:rsidRDefault="00BE1455" w:rsidP="00F04C29">
                        <w:pPr>
                          <w:rPr>
                            <w:iCs/>
                            <w:sz w:val="18"/>
                            <w:szCs w:val="18"/>
                          </w:rPr>
                        </w:pPr>
                      </w:p>
                    </w:tc>
                  </w:tr>
                </w:tbl>
                <w:p w:rsidR="00BE1455" w:rsidRPr="005E7793" w:rsidRDefault="002F24F1" w:rsidP="005E7793">
                  <w:pPr>
                    <w:widowControl w:val="0"/>
                    <w:spacing w:before="240"/>
                    <w:jc w:val="both"/>
                    <w:rPr>
                      <w:b/>
                      <w:sz w:val="18"/>
                      <w:szCs w:val="18"/>
                      <w:lang w:val="en-GB"/>
                    </w:rPr>
                  </w:pPr>
                  <w:r w:rsidRPr="005E7793">
                    <w:rPr>
                      <w:b/>
                      <w:sz w:val="18"/>
                      <w:szCs w:val="18"/>
                      <w:lang w:val="en-GB"/>
                    </w:rPr>
                    <w:t>Keywords</w:t>
                  </w:r>
                  <w:r w:rsidR="00BE1455" w:rsidRPr="005E7793">
                    <w:rPr>
                      <w:b/>
                      <w:sz w:val="18"/>
                      <w:szCs w:val="18"/>
                      <w:lang w:val="en-GB"/>
                    </w:rPr>
                    <w:t xml:space="preserve"> :</w:t>
                  </w:r>
                </w:p>
                <w:tbl>
                  <w:tblPr>
                    <w:tblW w:w="0" w:type="auto"/>
                    <w:tblLayout w:type="fixed"/>
                    <w:tblLook w:val="01E0"/>
                  </w:tblPr>
                  <w:tblGrid>
                    <w:gridCol w:w="4500"/>
                  </w:tblGrid>
                  <w:tr w:rsidR="00BE1455" w:rsidRPr="005E7793" w:rsidTr="005E7793">
                    <w:trPr>
                      <w:trHeight w:val="597"/>
                    </w:trPr>
                    <w:tc>
                      <w:tcPr>
                        <w:tcW w:w="4500" w:type="dxa"/>
                        <w:tcMar>
                          <w:top w:w="85" w:type="dxa"/>
                          <w:bottom w:w="85" w:type="dxa"/>
                        </w:tcMar>
                        <w:vAlign w:val="center"/>
                      </w:tcPr>
                      <w:p w:rsidR="00BE1455" w:rsidRDefault="00B20262" w:rsidP="00222D24">
                        <w:pPr>
                          <w:rPr>
                            <w:sz w:val="18"/>
                            <w:szCs w:val="18"/>
                          </w:rPr>
                        </w:pPr>
                        <w:r>
                          <w:rPr>
                            <w:sz w:val="18"/>
                            <w:szCs w:val="18"/>
                          </w:rPr>
                          <w:t>Banc de tests – capteurs – détecteurs</w:t>
                        </w:r>
                      </w:p>
                      <w:p w:rsidR="00B20262" w:rsidRDefault="00B20262" w:rsidP="00222D24">
                        <w:pPr>
                          <w:rPr>
                            <w:sz w:val="18"/>
                            <w:szCs w:val="18"/>
                          </w:rPr>
                        </w:pPr>
                        <w:r>
                          <w:rPr>
                            <w:sz w:val="18"/>
                            <w:szCs w:val="18"/>
                          </w:rPr>
                          <w:t xml:space="preserve">Electronique –Asic’s </w:t>
                        </w:r>
                        <w:r w:rsidR="004F0028">
                          <w:rPr>
                            <w:sz w:val="18"/>
                            <w:szCs w:val="18"/>
                          </w:rPr>
                          <w:t>–</w:t>
                        </w:r>
                        <w:r>
                          <w:rPr>
                            <w:sz w:val="18"/>
                            <w:szCs w:val="18"/>
                          </w:rPr>
                          <w:t xml:space="preserve"> mécanique</w:t>
                        </w:r>
                      </w:p>
                      <w:p w:rsidR="004F0028" w:rsidRPr="005E7793" w:rsidRDefault="004F0028" w:rsidP="00222D24">
                        <w:pPr>
                          <w:rPr>
                            <w:sz w:val="18"/>
                            <w:szCs w:val="18"/>
                          </w:rPr>
                        </w:pPr>
                        <w:r>
                          <w:rPr>
                            <w:sz w:val="18"/>
                            <w:szCs w:val="18"/>
                          </w:rPr>
                          <w:t>Photodétection</w:t>
                        </w:r>
                        <w:r w:rsidR="002D261E">
                          <w:rPr>
                            <w:sz w:val="18"/>
                            <w:szCs w:val="18"/>
                          </w:rPr>
                          <w:t>-Labview</w:t>
                        </w:r>
                      </w:p>
                    </w:tc>
                  </w:tr>
                </w:tbl>
                <w:p w:rsidR="00BE1455" w:rsidRPr="005E7793" w:rsidRDefault="00BE1455" w:rsidP="005E7793">
                  <w:pPr>
                    <w:widowControl w:val="0"/>
                    <w:spacing w:before="240"/>
                    <w:jc w:val="both"/>
                    <w:rPr>
                      <w:b/>
                      <w:sz w:val="18"/>
                      <w:szCs w:val="18"/>
                    </w:rPr>
                  </w:pPr>
                  <w:r w:rsidRPr="005E7793">
                    <w:rPr>
                      <w:b/>
                      <w:sz w:val="18"/>
                      <w:szCs w:val="18"/>
                    </w:rPr>
                    <w:t>O</w:t>
                  </w:r>
                  <w:r w:rsidR="002F24F1" w:rsidRPr="005E7793">
                    <w:rPr>
                      <w:b/>
                      <w:sz w:val="18"/>
                      <w:szCs w:val="18"/>
                    </w:rPr>
                    <w:t>ffering: Licensing / Collaboration</w:t>
                  </w:r>
                  <w:r w:rsidR="005570D4" w:rsidRPr="005E7793">
                    <w:rPr>
                      <w:b/>
                      <w:sz w:val="18"/>
                      <w:szCs w:val="18"/>
                    </w:rPr>
                    <w:t xml:space="preserve"> </w:t>
                  </w:r>
                  <w:r w:rsidRPr="005E7793">
                    <w:rPr>
                      <w:b/>
                      <w:sz w:val="18"/>
                      <w:szCs w:val="18"/>
                    </w:rPr>
                    <w:t xml:space="preserve">: </w:t>
                  </w:r>
                </w:p>
                <w:tbl>
                  <w:tblPr>
                    <w:tblW w:w="0" w:type="auto"/>
                    <w:tblLayout w:type="fixed"/>
                    <w:tblLook w:val="01E0"/>
                  </w:tblPr>
                  <w:tblGrid>
                    <w:gridCol w:w="4500"/>
                  </w:tblGrid>
                  <w:tr w:rsidR="00BE1455" w:rsidRPr="005E7793" w:rsidTr="005E7793">
                    <w:tc>
                      <w:tcPr>
                        <w:tcW w:w="4500" w:type="dxa"/>
                        <w:tcMar>
                          <w:top w:w="85" w:type="dxa"/>
                          <w:bottom w:w="85" w:type="dxa"/>
                        </w:tcMar>
                        <w:vAlign w:val="center"/>
                      </w:tcPr>
                      <w:p w:rsidR="00867108" w:rsidRPr="005E7793" w:rsidRDefault="005570D4" w:rsidP="004F3845">
                        <w:pPr>
                          <w:rPr>
                            <w:sz w:val="18"/>
                            <w:szCs w:val="18"/>
                          </w:rPr>
                        </w:pPr>
                        <w:r w:rsidRPr="005E7793">
                          <w:rPr>
                            <w:sz w:val="18"/>
                            <w:szCs w:val="18"/>
                          </w:rPr>
                          <w:t xml:space="preserve">Conseil, </w:t>
                        </w:r>
                        <w:r w:rsidR="00867108" w:rsidRPr="005E7793">
                          <w:rPr>
                            <w:sz w:val="18"/>
                            <w:szCs w:val="18"/>
                          </w:rPr>
                          <w:t xml:space="preserve">Expertise technique et scientifique </w:t>
                        </w:r>
                        <w:r w:rsidR="00C626B9" w:rsidRPr="005E7793">
                          <w:rPr>
                            <w:sz w:val="18"/>
                            <w:szCs w:val="18"/>
                          </w:rPr>
                          <w:t xml:space="preserve">Installation, </w:t>
                        </w:r>
                        <w:r w:rsidRPr="005E7793">
                          <w:rPr>
                            <w:sz w:val="18"/>
                            <w:szCs w:val="18"/>
                          </w:rPr>
                          <w:t xml:space="preserve">Formation, </w:t>
                        </w:r>
                        <w:r w:rsidR="004F3845">
                          <w:rPr>
                            <w:sz w:val="18"/>
                            <w:szCs w:val="18"/>
                          </w:rPr>
                          <w:t>Collaboration ou partenariat</w:t>
                        </w:r>
                      </w:p>
                    </w:tc>
                  </w:tr>
                </w:tbl>
                <w:p w:rsidR="00BE1455" w:rsidRPr="005E7793" w:rsidRDefault="00BE1455" w:rsidP="005E7793">
                  <w:pPr>
                    <w:widowControl w:val="0"/>
                    <w:spacing w:before="240"/>
                    <w:jc w:val="both"/>
                    <w:rPr>
                      <w:b/>
                      <w:sz w:val="18"/>
                      <w:szCs w:val="18"/>
                      <w:lang w:val="en-GB"/>
                    </w:rPr>
                  </w:pPr>
                  <w:r w:rsidRPr="005E7793">
                    <w:rPr>
                      <w:b/>
                      <w:sz w:val="18"/>
                      <w:szCs w:val="18"/>
                      <w:lang w:val="en-GB"/>
                    </w:rPr>
                    <w:t>Contact</w:t>
                  </w:r>
                  <w:r w:rsidR="00591130" w:rsidRPr="005E7793">
                    <w:rPr>
                      <w:b/>
                      <w:sz w:val="18"/>
                      <w:szCs w:val="18"/>
                      <w:lang w:val="en-GB"/>
                    </w:rPr>
                    <w:t xml:space="preserve"> in</w:t>
                  </w:r>
                  <w:r w:rsidRPr="005E7793">
                    <w:rPr>
                      <w:b/>
                      <w:sz w:val="18"/>
                      <w:szCs w:val="18"/>
                      <w:lang w:val="en-GB"/>
                    </w:rPr>
                    <w:t xml:space="preserve"> </w:t>
                  </w:r>
                  <w:r w:rsidR="00591130" w:rsidRPr="005E7793">
                    <w:rPr>
                      <w:b/>
                      <w:sz w:val="18"/>
                      <w:szCs w:val="18"/>
                      <w:lang w:val="en-GB"/>
                    </w:rPr>
                    <w:t xml:space="preserve">Laboratory </w:t>
                  </w:r>
                </w:p>
                <w:tbl>
                  <w:tblPr>
                    <w:tblW w:w="0" w:type="auto"/>
                    <w:tblLayout w:type="fixed"/>
                    <w:tblLook w:val="01E0"/>
                  </w:tblPr>
                  <w:tblGrid>
                    <w:gridCol w:w="4500"/>
                  </w:tblGrid>
                  <w:tr w:rsidR="00BE1455" w:rsidRPr="002D261E" w:rsidTr="005E7793">
                    <w:tc>
                      <w:tcPr>
                        <w:tcW w:w="4500" w:type="dxa"/>
                        <w:tcMar>
                          <w:top w:w="85" w:type="dxa"/>
                          <w:bottom w:w="85" w:type="dxa"/>
                        </w:tcMar>
                        <w:vAlign w:val="center"/>
                      </w:tcPr>
                      <w:p w:rsidR="002553BC" w:rsidRPr="005E7793" w:rsidRDefault="00FA557C" w:rsidP="002553BC">
                        <w:pPr>
                          <w:rPr>
                            <w:sz w:val="18"/>
                            <w:szCs w:val="18"/>
                          </w:rPr>
                        </w:pPr>
                        <w:r w:rsidRPr="005E7793">
                          <w:rPr>
                            <w:sz w:val="18"/>
                            <w:szCs w:val="18"/>
                          </w:rPr>
                          <w:t>Technolgy Transfer Officer: F</w:t>
                        </w:r>
                        <w:r w:rsidR="00722D24" w:rsidRPr="005E7793">
                          <w:rPr>
                            <w:sz w:val="18"/>
                            <w:szCs w:val="18"/>
                          </w:rPr>
                          <w:t>r</w:t>
                        </w:r>
                        <w:r w:rsidR="00222D24" w:rsidRPr="005E7793">
                          <w:rPr>
                            <w:sz w:val="18"/>
                            <w:szCs w:val="18"/>
                          </w:rPr>
                          <w:t>é</w:t>
                        </w:r>
                        <w:r w:rsidR="00867108" w:rsidRPr="005E7793">
                          <w:rPr>
                            <w:sz w:val="18"/>
                            <w:szCs w:val="18"/>
                          </w:rPr>
                          <w:t>dérique Chol</w:t>
                        </w:r>
                        <w:r w:rsidR="00722D24" w:rsidRPr="005E7793">
                          <w:rPr>
                            <w:sz w:val="18"/>
                            <w:szCs w:val="18"/>
                          </w:rPr>
                          <w:t>l</w:t>
                        </w:r>
                        <w:r w:rsidR="00867108" w:rsidRPr="005E7793">
                          <w:rPr>
                            <w:sz w:val="18"/>
                            <w:szCs w:val="18"/>
                          </w:rPr>
                          <w:t>et</w:t>
                        </w:r>
                      </w:p>
                      <w:p w:rsidR="002553BC" w:rsidRPr="005E7793" w:rsidRDefault="002553BC" w:rsidP="00867108">
                        <w:pPr>
                          <w:rPr>
                            <w:sz w:val="18"/>
                            <w:szCs w:val="18"/>
                          </w:rPr>
                        </w:pPr>
                        <w:r w:rsidRPr="005E7793">
                          <w:rPr>
                            <w:sz w:val="18"/>
                            <w:szCs w:val="18"/>
                          </w:rPr>
                          <w:t xml:space="preserve">Tel: </w:t>
                        </w:r>
                        <w:r w:rsidR="00C83D8B" w:rsidRPr="005E7793">
                          <w:rPr>
                            <w:sz w:val="18"/>
                            <w:szCs w:val="18"/>
                          </w:rPr>
                          <w:t>+33 (0) 4</w:t>
                        </w:r>
                        <w:r w:rsidR="00867108" w:rsidRPr="005E7793">
                          <w:rPr>
                            <w:sz w:val="18"/>
                            <w:szCs w:val="18"/>
                          </w:rPr>
                          <w:t xml:space="preserve"> 50 09 16 44 </w:t>
                        </w:r>
                        <w:r w:rsidRPr="005E7793">
                          <w:rPr>
                            <w:sz w:val="18"/>
                            <w:szCs w:val="18"/>
                          </w:rPr>
                          <w:t xml:space="preserve">  </w:t>
                        </w:r>
                      </w:p>
                      <w:p w:rsidR="00722D24" w:rsidRPr="005E7793" w:rsidRDefault="002553BC" w:rsidP="002553BC">
                        <w:pPr>
                          <w:rPr>
                            <w:sz w:val="18"/>
                            <w:szCs w:val="18"/>
                          </w:rPr>
                        </w:pPr>
                        <w:r w:rsidRPr="005E7793">
                          <w:rPr>
                            <w:sz w:val="18"/>
                            <w:szCs w:val="18"/>
                          </w:rPr>
                          <w:t>email:</w:t>
                        </w:r>
                        <w:r w:rsidR="00867108" w:rsidRPr="005E7793">
                          <w:rPr>
                            <w:sz w:val="18"/>
                            <w:szCs w:val="18"/>
                          </w:rPr>
                          <w:t xml:space="preserve"> </w:t>
                        </w:r>
                        <w:hyperlink r:id="rId6" w:history="1">
                          <w:r w:rsidR="00722D24" w:rsidRPr="005E7793">
                            <w:rPr>
                              <w:rStyle w:val="Lienhypertexte"/>
                              <w:sz w:val="18"/>
                              <w:szCs w:val="18"/>
                            </w:rPr>
                            <w:t>chollet@lapp.in2p3.fr</w:t>
                          </w:r>
                        </w:hyperlink>
                      </w:p>
                      <w:p w:rsidR="002553BC" w:rsidRPr="005E7793" w:rsidRDefault="00242E78" w:rsidP="002553BC">
                        <w:pPr>
                          <w:rPr>
                            <w:sz w:val="18"/>
                            <w:szCs w:val="18"/>
                          </w:rPr>
                        </w:pPr>
                        <w:hyperlink r:id="rId7" w:history="1">
                          <w:r w:rsidR="00867108" w:rsidRPr="005E7793">
                            <w:rPr>
                              <w:rStyle w:val="Lienhypertexte"/>
                              <w:sz w:val="18"/>
                              <w:szCs w:val="18"/>
                            </w:rPr>
                            <w:t>http://lapp.in2p3.fr/valorisation/</w:t>
                          </w:r>
                        </w:hyperlink>
                      </w:p>
                      <w:p w:rsidR="002553BC" w:rsidRPr="005E7793" w:rsidRDefault="002553BC" w:rsidP="002553BC">
                        <w:pPr>
                          <w:rPr>
                            <w:sz w:val="18"/>
                            <w:szCs w:val="18"/>
                          </w:rPr>
                        </w:pPr>
                      </w:p>
                      <w:p w:rsidR="002553BC" w:rsidRPr="005E7793" w:rsidRDefault="00867108" w:rsidP="002553BC">
                        <w:pPr>
                          <w:rPr>
                            <w:sz w:val="18"/>
                            <w:szCs w:val="18"/>
                          </w:rPr>
                        </w:pPr>
                        <w:r w:rsidRPr="005E7793">
                          <w:rPr>
                            <w:sz w:val="18"/>
                            <w:szCs w:val="18"/>
                          </w:rPr>
                          <w:t>LAPP</w:t>
                        </w:r>
                        <w:r w:rsidR="002553BC" w:rsidRPr="005E7793">
                          <w:rPr>
                            <w:sz w:val="18"/>
                            <w:szCs w:val="18"/>
                          </w:rPr>
                          <w:t xml:space="preserve"> – UMR5822</w:t>
                        </w:r>
                      </w:p>
                      <w:p w:rsidR="00867108" w:rsidRPr="005E7793" w:rsidRDefault="00867108" w:rsidP="002553BC">
                        <w:pPr>
                          <w:rPr>
                            <w:sz w:val="18"/>
                            <w:szCs w:val="18"/>
                          </w:rPr>
                        </w:pPr>
                        <w:r w:rsidRPr="005E7793">
                          <w:rPr>
                            <w:sz w:val="18"/>
                            <w:szCs w:val="18"/>
                          </w:rPr>
                          <w:t>La</w:t>
                        </w:r>
                        <w:r w:rsidR="00722D24" w:rsidRPr="005E7793">
                          <w:rPr>
                            <w:sz w:val="18"/>
                            <w:szCs w:val="18"/>
                          </w:rPr>
                          <w:t>boratoire d’Annecy le vieux de Physique des P</w:t>
                        </w:r>
                        <w:r w:rsidRPr="005E7793">
                          <w:rPr>
                            <w:sz w:val="18"/>
                            <w:szCs w:val="18"/>
                          </w:rPr>
                          <w:t>articules</w:t>
                        </w:r>
                      </w:p>
                      <w:p w:rsidR="002553BC" w:rsidRPr="005E3F9A" w:rsidRDefault="00C83D8B" w:rsidP="00867108">
                        <w:pPr>
                          <w:rPr>
                            <w:sz w:val="18"/>
                            <w:szCs w:val="18"/>
                            <w:lang w:val="en-US"/>
                          </w:rPr>
                        </w:pPr>
                        <w:r w:rsidRPr="005E3F9A">
                          <w:rPr>
                            <w:sz w:val="18"/>
                            <w:szCs w:val="18"/>
                            <w:lang w:val="en-US"/>
                          </w:rPr>
                          <w:t xml:space="preserve">Tel: +33 (0) 4 </w:t>
                        </w:r>
                        <w:r w:rsidR="00867108" w:rsidRPr="005E3F9A">
                          <w:rPr>
                            <w:sz w:val="18"/>
                            <w:szCs w:val="18"/>
                            <w:lang w:val="en-US"/>
                          </w:rPr>
                          <w:t>50 09 16 00</w:t>
                        </w:r>
                      </w:p>
                      <w:p w:rsidR="002553BC" w:rsidRPr="005E3F9A" w:rsidRDefault="00C83D8B" w:rsidP="002553BC">
                        <w:pPr>
                          <w:rPr>
                            <w:sz w:val="18"/>
                            <w:szCs w:val="18"/>
                            <w:lang w:val="en-US"/>
                          </w:rPr>
                        </w:pPr>
                        <w:r w:rsidRPr="005E3F9A">
                          <w:rPr>
                            <w:sz w:val="18"/>
                            <w:szCs w:val="18"/>
                            <w:lang w:val="en-US"/>
                          </w:rPr>
                          <w:t xml:space="preserve">Fax: +33 (0) </w:t>
                        </w:r>
                        <w:r w:rsidR="00867108" w:rsidRPr="005E3F9A">
                          <w:rPr>
                            <w:sz w:val="18"/>
                            <w:szCs w:val="18"/>
                            <w:lang w:val="en-US"/>
                          </w:rPr>
                          <w:t>4 50 27 94 95</w:t>
                        </w:r>
                        <w:r w:rsidR="002553BC" w:rsidRPr="005E3F9A">
                          <w:rPr>
                            <w:sz w:val="18"/>
                            <w:szCs w:val="18"/>
                            <w:lang w:val="en-US"/>
                          </w:rPr>
                          <w:t xml:space="preserve"> </w:t>
                        </w:r>
                      </w:p>
                      <w:p w:rsidR="00867108" w:rsidRPr="005E7793" w:rsidRDefault="00242E78" w:rsidP="005E7793">
                        <w:pPr>
                          <w:widowControl w:val="0"/>
                          <w:jc w:val="both"/>
                          <w:rPr>
                            <w:sz w:val="18"/>
                            <w:szCs w:val="18"/>
                            <w:lang w:val="en-GB"/>
                          </w:rPr>
                        </w:pPr>
                        <w:hyperlink r:id="rId8" w:history="1">
                          <w:r w:rsidR="00867108" w:rsidRPr="005E7793">
                            <w:rPr>
                              <w:rStyle w:val="Lienhypertexte"/>
                              <w:sz w:val="18"/>
                              <w:szCs w:val="18"/>
                              <w:lang w:val="en-GB"/>
                            </w:rPr>
                            <w:t>http://lapp.in2p3.fr/</w:t>
                          </w:r>
                        </w:hyperlink>
                      </w:p>
                    </w:tc>
                  </w:tr>
                </w:tbl>
                <w:p w:rsidR="00BE1455" w:rsidRPr="005E7793" w:rsidRDefault="00BE1455" w:rsidP="005E7793">
                  <w:pPr>
                    <w:widowControl w:val="0"/>
                    <w:spacing w:before="240"/>
                    <w:jc w:val="both"/>
                    <w:rPr>
                      <w:b/>
                      <w:sz w:val="18"/>
                      <w:szCs w:val="18"/>
                      <w:lang w:val="en-GB"/>
                    </w:rPr>
                  </w:pPr>
                  <w:r w:rsidRPr="005E7793">
                    <w:rPr>
                      <w:b/>
                      <w:sz w:val="18"/>
                      <w:szCs w:val="18"/>
                      <w:lang w:val="en-GB"/>
                    </w:rPr>
                    <w:t>Contact IN2P</w:t>
                  </w:r>
                  <w:r w:rsidR="00FB6061" w:rsidRPr="005E7793">
                    <w:rPr>
                      <w:b/>
                      <w:sz w:val="18"/>
                      <w:szCs w:val="18"/>
                      <w:lang w:val="en-GB"/>
                    </w:rPr>
                    <w:t xml:space="preserve">3 – </w:t>
                  </w:r>
                  <w:r w:rsidR="00591130" w:rsidRPr="005E7793">
                    <w:rPr>
                      <w:b/>
                      <w:sz w:val="18"/>
                      <w:szCs w:val="18"/>
                      <w:lang w:val="en-GB"/>
                    </w:rPr>
                    <w:t>Head of Technology Transfer Office</w:t>
                  </w:r>
                  <w:r w:rsidR="00FB6061" w:rsidRPr="005E7793">
                    <w:rPr>
                      <w:b/>
                      <w:sz w:val="18"/>
                      <w:szCs w:val="18"/>
                      <w:lang w:val="en-GB"/>
                    </w:rPr>
                    <w:t xml:space="preserve"> </w:t>
                  </w:r>
                </w:p>
                <w:tbl>
                  <w:tblPr>
                    <w:tblW w:w="0" w:type="auto"/>
                    <w:tblLayout w:type="fixed"/>
                    <w:tblLook w:val="01E0"/>
                  </w:tblPr>
                  <w:tblGrid>
                    <w:gridCol w:w="4500"/>
                  </w:tblGrid>
                  <w:tr w:rsidR="00BE1455" w:rsidRPr="005E7793" w:rsidTr="005E7793">
                    <w:tc>
                      <w:tcPr>
                        <w:tcW w:w="4500" w:type="dxa"/>
                        <w:tcMar>
                          <w:top w:w="85" w:type="dxa"/>
                          <w:bottom w:w="85" w:type="dxa"/>
                        </w:tcMar>
                        <w:vAlign w:val="center"/>
                      </w:tcPr>
                      <w:p w:rsidR="00722D24" w:rsidRPr="005E7793" w:rsidRDefault="00BE1455" w:rsidP="005E7793">
                        <w:pPr>
                          <w:widowControl w:val="0"/>
                          <w:jc w:val="both"/>
                          <w:rPr>
                            <w:sz w:val="18"/>
                            <w:szCs w:val="18"/>
                            <w:lang w:val="en-GB"/>
                          </w:rPr>
                        </w:pPr>
                        <w:r w:rsidRPr="005E7793">
                          <w:rPr>
                            <w:sz w:val="18"/>
                            <w:szCs w:val="18"/>
                            <w:lang w:val="en-GB"/>
                          </w:rPr>
                          <w:t xml:space="preserve">Marcel Soberman </w:t>
                        </w:r>
                      </w:p>
                      <w:p w:rsidR="00BE1455" w:rsidRPr="005E7793" w:rsidRDefault="00BE1455" w:rsidP="005E7793">
                        <w:pPr>
                          <w:widowControl w:val="0"/>
                          <w:jc w:val="both"/>
                          <w:rPr>
                            <w:sz w:val="18"/>
                            <w:szCs w:val="18"/>
                            <w:lang w:val="en-GB"/>
                          </w:rPr>
                        </w:pPr>
                        <w:r w:rsidRPr="005E7793">
                          <w:rPr>
                            <w:sz w:val="18"/>
                            <w:szCs w:val="18"/>
                            <w:lang w:val="en-GB"/>
                          </w:rPr>
                          <w:t>Tel: +33 (0) 1 4496 4318</w:t>
                        </w:r>
                      </w:p>
                      <w:p w:rsidR="00BE1455" w:rsidRPr="005E7793" w:rsidRDefault="00BE1455" w:rsidP="005E7793">
                        <w:pPr>
                          <w:widowControl w:val="0"/>
                          <w:jc w:val="both"/>
                          <w:rPr>
                            <w:sz w:val="18"/>
                            <w:szCs w:val="18"/>
                            <w:lang w:val="en-GB"/>
                          </w:rPr>
                        </w:pPr>
                        <w:r w:rsidRPr="005E7793">
                          <w:rPr>
                            <w:sz w:val="18"/>
                            <w:szCs w:val="18"/>
                            <w:lang w:val="en-GB"/>
                          </w:rPr>
                          <w:t xml:space="preserve">email: </w:t>
                        </w:r>
                        <w:hyperlink r:id="rId9" w:history="1">
                          <w:r w:rsidRPr="005E7793">
                            <w:rPr>
                              <w:rStyle w:val="Lienhypertexte"/>
                              <w:sz w:val="18"/>
                              <w:szCs w:val="18"/>
                            </w:rPr>
                            <w:t>partenariat.industriel@in2p3.fr</w:t>
                          </w:r>
                        </w:hyperlink>
                      </w:p>
                      <w:p w:rsidR="00BE1455" w:rsidRPr="005E7793" w:rsidRDefault="00BE1455" w:rsidP="005E7793">
                        <w:pPr>
                          <w:widowControl w:val="0"/>
                          <w:jc w:val="both"/>
                          <w:rPr>
                            <w:sz w:val="18"/>
                            <w:szCs w:val="18"/>
                            <w:lang w:val="en-GB"/>
                          </w:rPr>
                        </w:pPr>
                        <w:r w:rsidRPr="005E7793">
                          <w:rPr>
                            <w:sz w:val="18"/>
                            <w:szCs w:val="18"/>
                            <w:lang w:val="en-GB"/>
                          </w:rPr>
                          <w:t>http://valorisation.in2p3.fr/</w:t>
                        </w:r>
                      </w:p>
                    </w:tc>
                  </w:tr>
                </w:tbl>
                <w:p w:rsidR="00FA08C4" w:rsidRPr="005E7793" w:rsidRDefault="00FA08C4" w:rsidP="005E7793">
                  <w:pPr>
                    <w:widowControl w:val="0"/>
                    <w:ind w:left="-360" w:right="203"/>
                    <w:jc w:val="both"/>
                    <w:rPr>
                      <w:sz w:val="20"/>
                      <w:szCs w:val="20"/>
                    </w:rPr>
                  </w:pPr>
                </w:p>
              </w:tc>
              <w:tc>
                <w:tcPr>
                  <w:tcW w:w="2730" w:type="pct"/>
                  <w:tcBorders>
                    <w:top w:val="nil"/>
                    <w:left w:val="nil"/>
                    <w:bottom w:val="nil"/>
                    <w:right w:val="nil"/>
                  </w:tcBorders>
                </w:tcPr>
                <w:p w:rsidR="00950717" w:rsidRDefault="005E3F9A" w:rsidP="005E7793">
                  <w:pPr>
                    <w:keepNext/>
                    <w:keepLines/>
                    <w:suppressAutoHyphens/>
                    <w:ind w:right="318"/>
                    <w:jc w:val="both"/>
                  </w:pPr>
                  <w:r>
                    <w:rPr>
                      <w:b/>
                      <w:noProof/>
                      <w:color w:val="FF0000"/>
                      <w:sz w:val="28"/>
                      <w:szCs w:val="16"/>
                    </w:rPr>
                    <w:drawing>
                      <wp:inline distT="0" distB="0" distL="0" distR="0">
                        <wp:extent cx="1543050" cy="1025917"/>
                        <wp:effectExtent l="19050" t="0" r="0" b="0"/>
                        <wp:docPr id="2" name="Image 1" descr="Banc At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c Atlas.JPG"/>
                                <pic:cNvPicPr/>
                              </pic:nvPicPr>
                              <pic:blipFill>
                                <a:blip r:embed="rId10" cstate="print"/>
                                <a:stretch>
                                  <a:fillRect/>
                                </a:stretch>
                              </pic:blipFill>
                              <pic:spPr>
                                <a:xfrm>
                                  <a:off x="0" y="0"/>
                                  <a:ext cx="1543050" cy="1025917"/>
                                </a:xfrm>
                                <a:prstGeom prst="rect">
                                  <a:avLst/>
                                </a:prstGeom>
                              </pic:spPr>
                            </pic:pic>
                          </a:graphicData>
                        </a:graphic>
                      </wp:inline>
                    </w:drawing>
                  </w:r>
                  <w:r w:rsidR="006C787E">
                    <w:t xml:space="preserve"> </w:t>
                  </w:r>
                  <w:r w:rsidR="006C787E">
                    <w:object w:dxaOrig="15600" w:dyaOrig="1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o:ole="">
                        <v:imagedata r:id="rId11" o:title=""/>
                      </v:shape>
                      <o:OLEObject Type="Embed" ProgID="PBrush" ShapeID="_x0000_i1025" DrawAspect="Content" ObjectID="_1361361653" r:id="rId12"/>
                    </w:object>
                  </w:r>
                </w:p>
                <w:p w:rsidR="00CF5E96" w:rsidRPr="00CF5E96" w:rsidRDefault="00CF5E96" w:rsidP="005E7793">
                  <w:pPr>
                    <w:keepNext/>
                    <w:keepLines/>
                    <w:suppressAutoHyphens/>
                    <w:ind w:right="318"/>
                    <w:jc w:val="both"/>
                    <w:rPr>
                      <w:b/>
                      <w:color w:val="FF0000"/>
                      <w:sz w:val="16"/>
                      <w:szCs w:val="16"/>
                    </w:rPr>
                  </w:pPr>
                  <w:r w:rsidRPr="00CF5E96">
                    <w:rPr>
                      <w:sz w:val="16"/>
                      <w:szCs w:val="16"/>
                    </w:rPr>
                    <w:t>B</w:t>
                  </w:r>
                  <w:r>
                    <w:rPr>
                      <w:sz w:val="16"/>
                      <w:szCs w:val="16"/>
                    </w:rPr>
                    <w:t xml:space="preserve">anc de test raccords fluides       </w:t>
                  </w:r>
                  <w:r w:rsidRPr="00CF5E96">
                    <w:rPr>
                      <w:sz w:val="16"/>
                      <w:szCs w:val="16"/>
                    </w:rPr>
                    <w:t>B</w:t>
                  </w:r>
                  <w:r>
                    <w:rPr>
                      <w:sz w:val="16"/>
                      <w:szCs w:val="16"/>
                    </w:rPr>
                    <w:t>anc de test Micromégas</w:t>
                  </w:r>
                </w:p>
                <w:p w:rsidR="00950717" w:rsidRPr="005E7793" w:rsidRDefault="00591130" w:rsidP="005E7793">
                  <w:pPr>
                    <w:keepNext/>
                    <w:keepLines/>
                    <w:suppressAutoHyphens/>
                    <w:spacing w:before="240"/>
                    <w:ind w:right="318"/>
                    <w:jc w:val="both"/>
                    <w:rPr>
                      <w:b/>
                      <w:sz w:val="18"/>
                      <w:szCs w:val="18"/>
                      <w:lang w:val="en-GB"/>
                    </w:rPr>
                  </w:pPr>
                  <w:r w:rsidRPr="005E7793">
                    <w:rPr>
                      <w:b/>
                      <w:sz w:val="18"/>
                      <w:szCs w:val="18"/>
                      <w:lang w:val="en-GB"/>
                    </w:rPr>
                    <w:t xml:space="preserve">State of </w:t>
                  </w:r>
                  <w:r w:rsidR="00FA557C" w:rsidRPr="005E7793">
                    <w:rPr>
                      <w:b/>
                      <w:sz w:val="18"/>
                      <w:szCs w:val="18"/>
                      <w:lang w:val="en-GB"/>
                    </w:rPr>
                    <w:t>development</w:t>
                  </w:r>
                  <w:r w:rsidRPr="005E7793">
                    <w:rPr>
                      <w:b/>
                      <w:sz w:val="18"/>
                      <w:szCs w:val="18"/>
                      <w:lang w:val="en-GB"/>
                    </w:rPr>
                    <w:t xml:space="preserve"> / Innovative aspects and main advantages</w:t>
                  </w:r>
                </w:p>
                <w:tbl>
                  <w:tblPr>
                    <w:tblW w:w="4968" w:type="dxa"/>
                    <w:tblLayout w:type="fixed"/>
                    <w:tblLook w:val="01E0"/>
                  </w:tblPr>
                  <w:tblGrid>
                    <w:gridCol w:w="4968"/>
                  </w:tblGrid>
                  <w:tr w:rsidR="00950717" w:rsidRPr="002D261E" w:rsidTr="005E7793">
                    <w:tc>
                      <w:tcPr>
                        <w:tcW w:w="4968" w:type="dxa"/>
                        <w:tcMar>
                          <w:top w:w="85" w:type="dxa"/>
                          <w:bottom w:w="85" w:type="dxa"/>
                        </w:tcMar>
                        <w:vAlign w:val="center"/>
                      </w:tcPr>
                      <w:p w:rsidR="00EC064D" w:rsidRDefault="00EC064D" w:rsidP="00EC064D">
                        <w:pPr>
                          <w:jc w:val="both"/>
                          <w:rPr>
                            <w:sz w:val="18"/>
                            <w:szCs w:val="18"/>
                          </w:rPr>
                        </w:pPr>
                        <w:r>
                          <w:rPr>
                            <w:sz w:val="18"/>
                            <w:szCs w:val="18"/>
                          </w:rPr>
                          <w:t>L’instrumentation développée au laboratoire couvre une multitude de domaines, que ce soit dans le control actif de structure pour l’amortissement de vibrations, dans la caractérisation de produits dans le domaine de la photo détection ou de raccords fluides, dans le test d’ASIC’s, le test en radiations ou la qualification de détecteurs, ou, à plus grande échelle, l’interlock de faisceau pour la sécurité de détecteurs.</w:t>
                        </w:r>
                      </w:p>
                      <w:p w:rsidR="00EC064D" w:rsidRPr="005E7793" w:rsidRDefault="008B1D12" w:rsidP="00EC064D">
                        <w:pPr>
                          <w:jc w:val="both"/>
                          <w:rPr>
                            <w:sz w:val="18"/>
                            <w:szCs w:val="18"/>
                          </w:rPr>
                        </w:pPr>
                        <w:r w:rsidRPr="008B1D12">
                          <w:rPr>
                            <w:sz w:val="18"/>
                            <w:szCs w:val="18"/>
                          </w:rPr>
                          <w:t>Pour couvrir ces projets variés, nous mettons en oeuvre un grand nombre de techniques</w:t>
                        </w:r>
                        <w:r>
                          <w:rPr>
                            <w:sz w:val="18"/>
                            <w:szCs w:val="18"/>
                          </w:rPr>
                          <w:t xml:space="preserve"> </w:t>
                        </w:r>
                        <w:r w:rsidR="00EC064D">
                          <w:rPr>
                            <w:sz w:val="18"/>
                            <w:szCs w:val="18"/>
                          </w:rPr>
                          <w:t xml:space="preserve">: </w:t>
                        </w:r>
                        <w:r w:rsidR="002D261E">
                          <w:rPr>
                            <w:sz w:val="18"/>
                            <w:szCs w:val="18"/>
                          </w:rPr>
                          <w:t>progammation Labview, acquisition temps réel</w:t>
                        </w:r>
                        <w:r w:rsidR="00EC064D">
                          <w:rPr>
                            <w:sz w:val="18"/>
                            <w:szCs w:val="18"/>
                          </w:rPr>
                          <w:t xml:space="preserve"> (compactRio, FPGA), analyse spectrale, PSD, gestion de bases de données, interfaçage et traitement sous ROOT</w:t>
                        </w:r>
                        <w:r w:rsidR="007265C7">
                          <w:rPr>
                            <w:sz w:val="18"/>
                            <w:szCs w:val="18"/>
                          </w:rPr>
                          <w:t>(logiciel d’analyse</w:t>
                        </w:r>
                        <w:r w:rsidR="00B04989">
                          <w:rPr>
                            <w:sz w:val="18"/>
                            <w:szCs w:val="18"/>
                          </w:rPr>
                          <w:t xml:space="preserve"> de données</w:t>
                        </w:r>
                        <w:r w:rsidR="007265C7">
                          <w:rPr>
                            <w:sz w:val="18"/>
                            <w:szCs w:val="18"/>
                          </w:rPr>
                          <w:t>)</w:t>
                        </w:r>
                        <w:r w:rsidR="00EC064D">
                          <w:rPr>
                            <w:sz w:val="18"/>
                            <w:szCs w:val="18"/>
                          </w:rPr>
                          <w:t>, instrumentation classique, identification via reconnaissance de caractères, gestion d’alarme via modem GSM, test</w:t>
                        </w:r>
                        <w:r w:rsidR="00965614">
                          <w:rPr>
                            <w:sz w:val="18"/>
                            <w:szCs w:val="18"/>
                          </w:rPr>
                          <w:t>s</w:t>
                        </w:r>
                        <w:r w:rsidR="00EC064D">
                          <w:rPr>
                            <w:sz w:val="18"/>
                            <w:szCs w:val="18"/>
                          </w:rPr>
                          <w:t xml:space="preserve"> en étuve ou en enceinte</w:t>
                        </w:r>
                        <w:r w:rsidR="006A2478">
                          <w:rPr>
                            <w:sz w:val="18"/>
                            <w:szCs w:val="18"/>
                          </w:rPr>
                          <w:t xml:space="preserve"> à vide, architectures distribuées, Webservices.</w:t>
                        </w:r>
                      </w:p>
                      <w:p w:rsidR="00C626B9" w:rsidRPr="005E3F9A" w:rsidRDefault="00026BCF" w:rsidP="005E7793">
                        <w:pPr>
                          <w:jc w:val="both"/>
                          <w:rPr>
                            <w:sz w:val="18"/>
                            <w:szCs w:val="18"/>
                            <w:lang w:val="en-US"/>
                          </w:rPr>
                        </w:pPr>
                        <w:r w:rsidRPr="005E3F9A">
                          <w:rPr>
                            <w:sz w:val="18"/>
                            <w:szCs w:val="18"/>
                            <w:lang w:val="en-US"/>
                          </w:rPr>
                          <w:t>.</w:t>
                        </w:r>
                      </w:p>
                    </w:tc>
                  </w:tr>
                </w:tbl>
                <w:p w:rsidR="00950717" w:rsidRPr="005E7793" w:rsidRDefault="00591130" w:rsidP="005E7793">
                  <w:pPr>
                    <w:keepNext/>
                    <w:keepLines/>
                    <w:suppressAutoHyphens/>
                    <w:spacing w:before="240"/>
                    <w:ind w:right="318"/>
                    <w:jc w:val="both"/>
                    <w:rPr>
                      <w:b/>
                      <w:sz w:val="18"/>
                      <w:szCs w:val="18"/>
                      <w:lang w:val="en-GB"/>
                    </w:rPr>
                  </w:pPr>
                  <w:r w:rsidRPr="005E7793">
                    <w:rPr>
                      <w:b/>
                      <w:sz w:val="18"/>
                      <w:szCs w:val="18"/>
                      <w:lang w:val="en-GB"/>
                    </w:rPr>
                    <w:t>Fields of application / Potential commercial applications</w:t>
                  </w:r>
                </w:p>
                <w:tbl>
                  <w:tblPr>
                    <w:tblW w:w="4968" w:type="dxa"/>
                    <w:tblLayout w:type="fixed"/>
                    <w:tblLook w:val="01E0"/>
                  </w:tblPr>
                  <w:tblGrid>
                    <w:gridCol w:w="4968"/>
                  </w:tblGrid>
                  <w:tr w:rsidR="00950717" w:rsidRPr="005E7793" w:rsidTr="005E7793">
                    <w:tc>
                      <w:tcPr>
                        <w:tcW w:w="4968" w:type="dxa"/>
                        <w:tcMar>
                          <w:top w:w="85" w:type="dxa"/>
                          <w:bottom w:w="85" w:type="dxa"/>
                        </w:tcMar>
                        <w:vAlign w:val="center"/>
                      </w:tcPr>
                      <w:p w:rsidR="00D26388" w:rsidRPr="005E7793" w:rsidRDefault="00D26388" w:rsidP="00D26388">
                        <w:pPr>
                          <w:rPr>
                            <w:sz w:val="18"/>
                            <w:szCs w:val="18"/>
                          </w:rPr>
                        </w:pPr>
                        <w:r w:rsidRPr="005E7793">
                          <w:rPr>
                            <w:sz w:val="18"/>
                            <w:szCs w:val="18"/>
                          </w:rPr>
                          <w:t>Aéronautique, Aérospatial</w:t>
                        </w:r>
                      </w:p>
                      <w:p w:rsidR="00D26388" w:rsidRPr="005E7793" w:rsidRDefault="00D26388" w:rsidP="00D26388">
                        <w:pPr>
                          <w:rPr>
                            <w:sz w:val="18"/>
                            <w:szCs w:val="18"/>
                          </w:rPr>
                        </w:pPr>
                        <w:r w:rsidRPr="005E7793">
                          <w:rPr>
                            <w:sz w:val="18"/>
                            <w:szCs w:val="18"/>
                          </w:rPr>
                          <w:t>Armement, Défense, Sécurité</w:t>
                        </w:r>
                      </w:p>
                      <w:p w:rsidR="00D26388" w:rsidRPr="005E7793" w:rsidRDefault="00D26388" w:rsidP="00D26388">
                        <w:pPr>
                          <w:rPr>
                            <w:sz w:val="18"/>
                            <w:szCs w:val="18"/>
                          </w:rPr>
                        </w:pPr>
                        <w:r w:rsidRPr="005E7793">
                          <w:rPr>
                            <w:sz w:val="18"/>
                            <w:szCs w:val="18"/>
                          </w:rPr>
                          <w:t>Instrumentation, Mesures, Détection, Contrôle</w:t>
                        </w:r>
                      </w:p>
                      <w:p w:rsidR="00D26388" w:rsidRPr="005E7793" w:rsidRDefault="00D26388" w:rsidP="00D26388">
                        <w:pPr>
                          <w:rPr>
                            <w:sz w:val="18"/>
                            <w:szCs w:val="18"/>
                          </w:rPr>
                        </w:pPr>
                        <w:r w:rsidRPr="005E7793">
                          <w:rPr>
                            <w:sz w:val="18"/>
                            <w:szCs w:val="18"/>
                          </w:rPr>
                          <w:t>Matériaux</w:t>
                        </w:r>
                      </w:p>
                      <w:p w:rsidR="00D26388" w:rsidRPr="005E7793" w:rsidRDefault="00D26388" w:rsidP="00D26388">
                        <w:pPr>
                          <w:rPr>
                            <w:sz w:val="18"/>
                            <w:szCs w:val="18"/>
                          </w:rPr>
                        </w:pPr>
                        <w:r w:rsidRPr="005E7793">
                          <w:rPr>
                            <w:sz w:val="18"/>
                            <w:szCs w:val="18"/>
                          </w:rPr>
                          <w:t>Optique, Photonique, Acoustique</w:t>
                        </w:r>
                      </w:p>
                      <w:p w:rsidR="00D26388" w:rsidRPr="005E7793" w:rsidRDefault="00F02593" w:rsidP="00D26388">
                        <w:pPr>
                          <w:rPr>
                            <w:sz w:val="18"/>
                            <w:szCs w:val="18"/>
                          </w:rPr>
                        </w:pPr>
                        <w:r>
                          <w:rPr>
                            <w:sz w:val="18"/>
                            <w:szCs w:val="18"/>
                          </w:rPr>
                          <w:t>Biomédicale</w:t>
                        </w:r>
                      </w:p>
                      <w:p w:rsidR="00950717" w:rsidRPr="005E7793" w:rsidRDefault="00D26388" w:rsidP="005E7793">
                        <w:pPr>
                          <w:keepNext/>
                          <w:keepLines/>
                          <w:suppressAutoHyphens/>
                          <w:ind w:right="318"/>
                          <w:jc w:val="both"/>
                          <w:rPr>
                            <w:sz w:val="18"/>
                            <w:szCs w:val="18"/>
                          </w:rPr>
                        </w:pPr>
                        <w:r w:rsidRPr="005E7793">
                          <w:rPr>
                            <w:sz w:val="18"/>
                            <w:szCs w:val="18"/>
                          </w:rPr>
                          <w:t>Thermique, Technologies du vide</w:t>
                        </w:r>
                      </w:p>
                    </w:tc>
                  </w:tr>
                </w:tbl>
                <w:p w:rsidR="00950717" w:rsidRPr="005E7793" w:rsidRDefault="00026BCF" w:rsidP="005E7793">
                  <w:pPr>
                    <w:keepNext/>
                    <w:keepLines/>
                    <w:suppressAutoHyphens/>
                    <w:spacing w:before="240"/>
                    <w:ind w:right="318"/>
                    <w:jc w:val="both"/>
                    <w:rPr>
                      <w:b/>
                      <w:sz w:val="18"/>
                      <w:szCs w:val="18"/>
                    </w:rPr>
                  </w:pPr>
                  <w:r w:rsidRPr="005E7793">
                    <w:rPr>
                      <w:b/>
                      <w:sz w:val="18"/>
                      <w:szCs w:val="18"/>
                    </w:rPr>
                    <w:t>Other applicants</w:t>
                  </w:r>
                </w:p>
                <w:tbl>
                  <w:tblPr>
                    <w:tblW w:w="4968" w:type="dxa"/>
                    <w:tblLayout w:type="fixed"/>
                    <w:tblLook w:val="01E0"/>
                  </w:tblPr>
                  <w:tblGrid>
                    <w:gridCol w:w="4968"/>
                  </w:tblGrid>
                  <w:tr w:rsidR="00950717" w:rsidRPr="005E7793" w:rsidTr="005E7793">
                    <w:tc>
                      <w:tcPr>
                        <w:tcW w:w="4968" w:type="dxa"/>
                        <w:tcMar>
                          <w:top w:w="85" w:type="dxa"/>
                          <w:bottom w:w="85" w:type="dxa"/>
                        </w:tcMar>
                        <w:vAlign w:val="center"/>
                      </w:tcPr>
                      <w:p w:rsidR="00950717" w:rsidRPr="005E7793" w:rsidRDefault="00026BCF" w:rsidP="002D261E">
                        <w:pPr>
                          <w:jc w:val="both"/>
                          <w:rPr>
                            <w:sz w:val="18"/>
                            <w:szCs w:val="18"/>
                          </w:rPr>
                        </w:pPr>
                        <w:r w:rsidRPr="005E7793">
                          <w:rPr>
                            <w:sz w:val="18"/>
                            <w:szCs w:val="18"/>
                          </w:rPr>
                          <w:t xml:space="preserve">D'autres laboratoires de l'IN2P3 </w:t>
                        </w:r>
                        <w:r w:rsidR="002D261E">
                          <w:rPr>
                            <w:sz w:val="18"/>
                            <w:szCs w:val="18"/>
                          </w:rPr>
                          <w:t xml:space="preserve">ont des compétences similaires tant sur </w:t>
                        </w:r>
                        <w:r w:rsidRPr="005E7793">
                          <w:rPr>
                            <w:sz w:val="18"/>
                            <w:szCs w:val="18"/>
                          </w:rPr>
                          <w:t xml:space="preserve">le plan de l'expertise que sur la fourniture de </w:t>
                        </w:r>
                        <w:r w:rsidR="007E6F33">
                          <w:rPr>
                            <w:sz w:val="18"/>
                            <w:szCs w:val="18"/>
                          </w:rPr>
                          <w:t xml:space="preserve">banc de tests </w:t>
                        </w:r>
                        <w:r w:rsidRPr="005E7793">
                          <w:rPr>
                            <w:sz w:val="18"/>
                            <w:szCs w:val="18"/>
                          </w:rPr>
                          <w:t>.</w:t>
                        </w:r>
                      </w:p>
                    </w:tc>
                  </w:tr>
                </w:tbl>
                <w:p w:rsidR="00FA08C4" w:rsidRPr="005E7793" w:rsidRDefault="00FA08C4" w:rsidP="005E7793">
                  <w:pPr>
                    <w:keepNext/>
                    <w:keepLines/>
                    <w:suppressAutoHyphens/>
                    <w:ind w:right="318"/>
                    <w:jc w:val="both"/>
                    <w:rPr>
                      <w:sz w:val="20"/>
                      <w:szCs w:val="20"/>
                    </w:rPr>
                  </w:pPr>
                </w:p>
              </w:tc>
            </w:tr>
          </w:tbl>
          <w:p w:rsidR="00FA08C4" w:rsidRDefault="00FA08C4" w:rsidP="00560918"/>
        </w:tc>
      </w:tr>
    </w:tbl>
    <w:p w:rsidR="00FA08C4" w:rsidRDefault="00FA08C4" w:rsidP="00A551C5">
      <w:pPr>
        <w:ind w:right="-1008"/>
      </w:pPr>
    </w:p>
    <w:sectPr w:rsidR="00FA08C4" w:rsidSect="00B904B0">
      <w:pgSz w:w="11906" w:h="16838" w:code="9"/>
      <w:pgMar w:top="240" w:right="1418" w:bottom="24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405EB"/>
    <w:multiLevelType w:val="hybridMultilevel"/>
    <w:tmpl w:val="935246EE"/>
    <w:lvl w:ilvl="0" w:tplc="93BE4F60">
      <w:start w:val="1"/>
      <w:numFmt w:val="bullet"/>
      <w:lvlText w:val="•"/>
      <w:lvlJc w:val="left"/>
      <w:pPr>
        <w:tabs>
          <w:tab w:val="num" w:pos="284"/>
        </w:tabs>
        <w:ind w:left="0" w:firstLine="0"/>
      </w:pPr>
      <w:rPr>
        <w:rFonts w:ascii="Tahoma" w:hAnsi="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43D7110"/>
    <w:multiLevelType w:val="hybridMultilevel"/>
    <w:tmpl w:val="8A3A4824"/>
    <w:lvl w:ilvl="0" w:tplc="93BE4F60">
      <w:start w:val="1"/>
      <w:numFmt w:val="bullet"/>
      <w:lvlText w:val="•"/>
      <w:lvlJc w:val="left"/>
      <w:pPr>
        <w:tabs>
          <w:tab w:val="num" w:pos="284"/>
        </w:tabs>
        <w:ind w:left="0" w:firstLine="0"/>
      </w:pPr>
      <w:rPr>
        <w:rFonts w:ascii="Tahoma" w:hAnsi="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rsids>
    <w:rsidRoot w:val="00FA08C4"/>
    <w:rsid w:val="00007FB4"/>
    <w:rsid w:val="00026BCF"/>
    <w:rsid w:val="00062385"/>
    <w:rsid w:val="000B2D26"/>
    <w:rsid w:val="000F3983"/>
    <w:rsid w:val="001B2DFC"/>
    <w:rsid w:val="001D5D62"/>
    <w:rsid w:val="00222D24"/>
    <w:rsid w:val="00236A07"/>
    <w:rsid w:val="00242E78"/>
    <w:rsid w:val="002553BC"/>
    <w:rsid w:val="00257750"/>
    <w:rsid w:val="002D261E"/>
    <w:rsid w:val="002F24F1"/>
    <w:rsid w:val="003105CE"/>
    <w:rsid w:val="003B7E81"/>
    <w:rsid w:val="003D74E9"/>
    <w:rsid w:val="0040252B"/>
    <w:rsid w:val="004F0028"/>
    <w:rsid w:val="004F3845"/>
    <w:rsid w:val="004F4AC1"/>
    <w:rsid w:val="005271C0"/>
    <w:rsid w:val="00536B75"/>
    <w:rsid w:val="005570D4"/>
    <w:rsid w:val="00560918"/>
    <w:rsid w:val="00591130"/>
    <w:rsid w:val="005E3F9A"/>
    <w:rsid w:val="005E7793"/>
    <w:rsid w:val="006420AB"/>
    <w:rsid w:val="006A0455"/>
    <w:rsid w:val="006A2478"/>
    <w:rsid w:val="006C09D6"/>
    <w:rsid w:val="006C4A46"/>
    <w:rsid w:val="006C787E"/>
    <w:rsid w:val="00700663"/>
    <w:rsid w:val="00722D24"/>
    <w:rsid w:val="007265C7"/>
    <w:rsid w:val="0074715D"/>
    <w:rsid w:val="007E6F33"/>
    <w:rsid w:val="00867108"/>
    <w:rsid w:val="00884CCD"/>
    <w:rsid w:val="00893CCD"/>
    <w:rsid w:val="008B1D12"/>
    <w:rsid w:val="008C7002"/>
    <w:rsid w:val="0094255A"/>
    <w:rsid w:val="00950717"/>
    <w:rsid w:val="00965614"/>
    <w:rsid w:val="009A131A"/>
    <w:rsid w:val="009F3E3E"/>
    <w:rsid w:val="00A2582A"/>
    <w:rsid w:val="00A551C5"/>
    <w:rsid w:val="00AB42EE"/>
    <w:rsid w:val="00AC3840"/>
    <w:rsid w:val="00AE7FC7"/>
    <w:rsid w:val="00B04989"/>
    <w:rsid w:val="00B20262"/>
    <w:rsid w:val="00B904B0"/>
    <w:rsid w:val="00BE1455"/>
    <w:rsid w:val="00C626B9"/>
    <w:rsid w:val="00C83D8B"/>
    <w:rsid w:val="00CF5E96"/>
    <w:rsid w:val="00D26388"/>
    <w:rsid w:val="00D33E38"/>
    <w:rsid w:val="00D436A3"/>
    <w:rsid w:val="00DC281E"/>
    <w:rsid w:val="00E15A2E"/>
    <w:rsid w:val="00E85F70"/>
    <w:rsid w:val="00E93F17"/>
    <w:rsid w:val="00EC064D"/>
    <w:rsid w:val="00F02593"/>
    <w:rsid w:val="00F04C29"/>
    <w:rsid w:val="00FA08C4"/>
    <w:rsid w:val="00FA557C"/>
    <w:rsid w:val="00FB60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8C4"/>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A0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FA08C4"/>
    <w:rPr>
      <w:color w:val="0000FF"/>
      <w:u w:val="single"/>
    </w:rPr>
  </w:style>
  <w:style w:type="paragraph" w:styleId="Textedebulles">
    <w:name w:val="Balloon Text"/>
    <w:basedOn w:val="Normal"/>
    <w:link w:val="TextedebullesCar"/>
    <w:uiPriority w:val="99"/>
    <w:semiHidden/>
    <w:unhideWhenUsed/>
    <w:rsid w:val="005E3F9A"/>
    <w:rPr>
      <w:rFonts w:ascii="Tahoma" w:hAnsi="Tahoma" w:cs="Tahoma"/>
      <w:sz w:val="16"/>
      <w:szCs w:val="16"/>
    </w:rPr>
  </w:style>
  <w:style w:type="character" w:customStyle="1" w:styleId="TextedebullesCar">
    <w:name w:val="Texte de bulles Car"/>
    <w:basedOn w:val="Policepardfaut"/>
    <w:link w:val="Textedebulles"/>
    <w:uiPriority w:val="99"/>
    <w:semiHidden/>
    <w:rsid w:val="005E3F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06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pp.in2p3.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pp.in2p3.fr/valorisation/"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ollet@lapp.in2p3.fr"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partenariat.industriel@in2p3.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486</Words>
  <Characters>2674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IN2P3 – Valorisation et partenariats industriels</vt:lpstr>
    </vt:vector>
  </TitlesOfParts>
  <Company>CNRS</Company>
  <LinksUpToDate>false</LinksUpToDate>
  <CharactersWithSpaces>3154</CharactersWithSpaces>
  <SharedDoc>false</SharedDoc>
  <HLinks>
    <vt:vector size="24" baseType="variant">
      <vt:variant>
        <vt:i4>1179752</vt:i4>
      </vt:variant>
      <vt:variant>
        <vt:i4>9</vt:i4>
      </vt:variant>
      <vt:variant>
        <vt:i4>0</vt:i4>
      </vt:variant>
      <vt:variant>
        <vt:i4>5</vt:i4>
      </vt:variant>
      <vt:variant>
        <vt:lpwstr>mailto:partenariat.industriel@in2p3.fr</vt:lpwstr>
      </vt:variant>
      <vt:variant>
        <vt:lpwstr/>
      </vt:variant>
      <vt:variant>
        <vt:i4>5963798</vt:i4>
      </vt:variant>
      <vt:variant>
        <vt:i4>6</vt:i4>
      </vt:variant>
      <vt:variant>
        <vt:i4>0</vt:i4>
      </vt:variant>
      <vt:variant>
        <vt:i4>5</vt:i4>
      </vt:variant>
      <vt:variant>
        <vt:lpwstr>http://lapp.in2p3.fr/</vt:lpwstr>
      </vt:variant>
      <vt:variant>
        <vt:lpwstr/>
      </vt:variant>
      <vt:variant>
        <vt:i4>7602232</vt:i4>
      </vt:variant>
      <vt:variant>
        <vt:i4>3</vt:i4>
      </vt:variant>
      <vt:variant>
        <vt:i4>0</vt:i4>
      </vt:variant>
      <vt:variant>
        <vt:i4>5</vt:i4>
      </vt:variant>
      <vt:variant>
        <vt:lpwstr>http://lapp.in2p3.fr/valorisation/</vt:lpwstr>
      </vt:variant>
      <vt:variant>
        <vt:lpwstr/>
      </vt:variant>
      <vt:variant>
        <vt:i4>393332</vt:i4>
      </vt:variant>
      <vt:variant>
        <vt:i4>0</vt:i4>
      </vt:variant>
      <vt:variant>
        <vt:i4>0</vt:i4>
      </vt:variant>
      <vt:variant>
        <vt:i4>5</vt:i4>
      </vt:variant>
      <vt:variant>
        <vt:lpwstr>mailto:chollet@lapp.in2p3.fr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IN2P3 – Valorisation et partenariats industriels</dc:title>
  <dc:subject/>
  <dc:creator>PMA-SSI</dc:creator>
  <cp:keywords/>
  <dc:description/>
  <cp:lastModifiedBy>fouque</cp:lastModifiedBy>
  <cp:revision>9</cp:revision>
  <cp:lastPrinted>2009-11-26T12:00:00Z</cp:lastPrinted>
  <dcterms:created xsi:type="dcterms:W3CDTF">2011-02-28T09:31:00Z</dcterms:created>
  <dcterms:modified xsi:type="dcterms:W3CDTF">2011-03-11T14:14:00Z</dcterms:modified>
</cp:coreProperties>
</file>