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bottomFromText="0" w:horzAnchor="margin" w:leftFromText="180" w:rightFromText="180" w:tblpX="0" w:tblpY="1841" w:topFromText="0" w:vertAnchor="page"/>
        <w:tblW w:w="9578" w:type="dxa"/>
        <w:jc w:val="left"/>
        <w:tblInd w:w="99" w:type="dxa"/>
        <w:tblLayout w:type="fixed"/>
        <w:tblCellMar>
          <w:top w:w="0" w:type="dxa"/>
          <w:left w:w="99" w:type="dxa"/>
          <w:bottom w:w="0" w:type="dxa"/>
          <w:right w:w="99" w:type="dxa"/>
        </w:tblCellMar>
        <w:tblLook w:val="0000" w:noHBand="0" w:noVBand="0" w:firstColumn="0" w:lastRow="0" w:lastColumn="0" w:firstRow="0"/>
      </w:tblPr>
      <w:tblGrid>
        <w:gridCol w:w="1173"/>
        <w:gridCol w:w="1267"/>
        <w:gridCol w:w="58"/>
        <w:gridCol w:w="1367"/>
        <w:gridCol w:w="619"/>
        <w:gridCol w:w="303"/>
        <w:gridCol w:w="174"/>
        <w:gridCol w:w="375"/>
        <w:gridCol w:w="707"/>
        <w:gridCol w:w="841"/>
        <w:gridCol w:w="417"/>
        <w:gridCol w:w="170"/>
        <w:gridCol w:w="684"/>
        <w:gridCol w:w="579"/>
        <w:gridCol w:w="132"/>
        <w:gridCol w:w="711"/>
      </w:tblGrid>
      <w:tr>
        <w:trPr>
          <w:trHeight w:val="715" w:hRule="atLeast"/>
          <w:cantSplit w:val="true"/>
        </w:trPr>
        <w:tc>
          <w:tcPr>
            <w:tcW w:w="1173" w:type="dxa"/>
            <w:tcBorders>
              <w:top w:val="single" w:sz="4" w:space="0" w:color="000000"/>
              <w:left w:val="single" w:sz="4" w:space="0" w:color="000000"/>
              <w:bottom w:val="double" w:sz="4" w:space="0" w:color="000000"/>
              <w:right w:val="double" w:sz="4" w:space="0" w:color="000000"/>
            </w:tcBorders>
            <w:vAlign w:val="center"/>
          </w:tcPr>
          <w:p>
            <w:pPr>
              <w:pStyle w:val="Heading3"/>
              <w:widowControl w:val="false"/>
              <w:rPr>
                <w:sz w:val="20"/>
              </w:rPr>
            </w:pPr>
            <w:r>
              <w:rPr>
                <w:sz w:val="20"/>
              </w:rPr>
              <w:t>ID: NU_09</w:t>
            </w:r>
          </w:p>
        </w:tc>
        <w:tc>
          <w:tcPr>
            <w:tcW w:w="8404" w:type="dxa"/>
            <w:gridSpan w:val="15"/>
            <w:tcBorders>
              <w:top w:val="single" w:sz="4" w:space="0" w:color="000000"/>
              <w:left w:val="double" w:sz="4" w:space="0" w:color="000000"/>
              <w:bottom w:val="double" w:sz="4" w:space="0" w:color="000000"/>
              <w:right w:val="single" w:sz="4" w:space="0" w:color="000000"/>
            </w:tcBorders>
            <w:vAlign w:val="center"/>
          </w:tcPr>
          <w:p>
            <w:pPr>
              <w:pStyle w:val="Heading3"/>
              <w:widowControl w:val="false"/>
              <w:rPr>
                <w:rFonts w:eastAsia="SimSun"/>
                <w:sz w:val="20"/>
                <w:lang w:val="en-US" w:eastAsia="zh-CN"/>
              </w:rPr>
            </w:pPr>
            <w:r>
              <w:rPr>
                <w:rFonts w:eastAsia="SimSun"/>
                <w:sz w:val="20"/>
                <w:lang w:eastAsia="zh-CN"/>
              </w:rPr>
              <w:t>Title:Characterization of the upgraded J-PARC neutrino beam for T2K-II and HK experiments</w:t>
            </w:r>
          </w:p>
        </w:tc>
      </w:tr>
      <w:tr>
        <w:trPr>
          <w:trHeight w:val="300" w:hRule="atLeast"/>
          <w:cantSplit w:val="true"/>
        </w:trPr>
        <w:tc>
          <w:tcPr>
            <w:tcW w:w="1173" w:type="dxa"/>
            <w:vMerge w:val="restart"/>
            <w:tcBorders>
              <w:top w:val="double" w:sz="4" w:space="0" w:color="000000"/>
              <w:left w:val="single" w:sz="4" w:space="0" w:color="000000"/>
              <w:bottom w:val="single" w:sz="4" w:space="0" w:color="000000"/>
              <w:right w:val="double" w:sz="4" w:space="0" w:color="000000"/>
            </w:tcBorders>
            <w:vAlign w:val="center"/>
          </w:tcPr>
          <w:p>
            <w:pPr>
              <w:pStyle w:val="Heading3"/>
              <w:widowControl w:val="false"/>
              <w:rPr>
                <w:rFonts w:eastAsia="SimSun"/>
                <w:sz w:val="20"/>
                <w:lang w:eastAsia="zh-CN"/>
              </w:rPr>
            </w:pPr>
            <w:r>
              <w:rPr>
                <w:rFonts w:eastAsia="SimSun"/>
                <w:sz w:val="20"/>
                <w:lang w:eastAsia="zh-CN"/>
              </w:rPr>
              <w:t>Project Leader</w:t>
            </w:r>
          </w:p>
        </w:tc>
        <w:tc>
          <w:tcPr>
            <w:tcW w:w="4163" w:type="dxa"/>
            <w:gridSpan w:val="7"/>
            <w:tcBorders>
              <w:top w:val="double" w:sz="4" w:space="0" w:color="000000"/>
              <w:left w:val="double" w:sz="4" w:space="0" w:color="000000"/>
              <w:bottom w:val="single" w:sz="4" w:space="0" w:color="000000"/>
              <w:right w:val="double" w:sz="4" w:space="0" w:color="000000"/>
            </w:tcBorders>
          </w:tcPr>
          <w:p>
            <w:pPr>
              <w:pStyle w:val="Normal"/>
              <w:widowControl w:val="false"/>
              <w:jc w:val="center"/>
              <w:rPr>
                <w:rFonts w:ascii="Times New Roman" w:hAnsi="Times New Roman"/>
                <w:b/>
                <w:b/>
                <w:sz w:val="20"/>
              </w:rPr>
            </w:pPr>
            <w:r>
              <w:rPr>
                <w:rFonts w:ascii="Times New Roman" w:hAnsi="Times New Roman"/>
                <w:b/>
                <w:sz w:val="20"/>
              </w:rPr>
              <w:t>French Group</w:t>
            </w:r>
          </w:p>
        </w:tc>
        <w:tc>
          <w:tcPr>
            <w:tcW w:w="4241" w:type="dxa"/>
            <w:gridSpan w:val="8"/>
            <w:tcBorders>
              <w:top w:val="double" w:sz="4" w:space="0" w:color="000000"/>
              <w:left w:val="doub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Japanese Group</w:t>
            </w:r>
          </w:p>
        </w:tc>
      </w:tr>
      <w:tr>
        <w:trPr>
          <w:trHeight w:val="315" w:hRule="atLeast"/>
          <w:cantSplit w:val="true"/>
        </w:trPr>
        <w:tc>
          <w:tcPr>
            <w:tcW w:w="1173" w:type="dxa"/>
            <w:vMerge w:val="continue"/>
            <w:tcBorders>
              <w:top w:val="single" w:sz="4" w:space="0" w:color="000000"/>
              <w:left w:val="single" w:sz="4" w:space="0" w:color="000000"/>
              <w:bottom w:val="single"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c>
          <w:tcPr>
            <w:tcW w:w="1325" w:type="dxa"/>
            <w:gridSpan w:val="2"/>
            <w:tcBorders>
              <w:top w:val="single" w:sz="4" w:space="0" w:color="000000"/>
              <w:left w:val="double" w:sz="4" w:space="0" w:color="000000"/>
              <w:bottom w:val="single" w:sz="4" w:space="0" w:color="000000"/>
              <w:right w:val="single" w:sz="4" w:space="0" w:color="000000"/>
            </w:tcBorders>
          </w:tcPr>
          <w:p>
            <w:pPr>
              <w:pStyle w:val="Heading5"/>
              <w:widowControl w:val="false"/>
              <w:rPr/>
            </w:pPr>
            <w:r>
              <w:rPr/>
              <w:t>name</w:t>
            </w:r>
          </w:p>
        </w:tc>
        <w:tc>
          <w:tcPr>
            <w:tcW w:w="1367" w:type="dxa"/>
            <w:tcBorders>
              <w:top w:val="single" w:sz="4" w:space="0" w:color="000000"/>
              <w:left w:val="single" w:sz="4" w:space="0" w:color="000000"/>
              <w:bottom w:val="single" w:sz="4" w:space="0" w:color="000000"/>
              <w:right w:val="single" w:sz="4" w:space="0" w:color="000000"/>
            </w:tcBorders>
          </w:tcPr>
          <w:p>
            <w:pPr>
              <w:pStyle w:val="Heading5"/>
              <w:widowControl w:val="false"/>
              <w:rPr/>
            </w:pPr>
            <w:r>
              <w:rPr/>
              <w:t>email</w:t>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title</w:t>
            </w:r>
          </w:p>
        </w:tc>
        <w:tc>
          <w:tcPr>
            <w:tcW w:w="852" w:type="dxa"/>
            <w:gridSpan w:val="3"/>
            <w:tcBorders>
              <w:top w:val="single" w:sz="4" w:space="0" w:color="000000"/>
              <w:left w:val="single" w:sz="4" w:space="0" w:color="000000"/>
              <w:bottom w:val="single" w:sz="4" w:space="0" w:color="000000"/>
              <w:right w:val="double" w:sz="4" w:space="0" w:color="000000"/>
            </w:tcBorders>
          </w:tcPr>
          <w:p>
            <w:pPr>
              <w:pStyle w:val="Normal"/>
              <w:widowControl w:val="false"/>
              <w:jc w:val="center"/>
              <w:rPr>
                <w:rFonts w:ascii="Times New Roman" w:hAnsi="Times New Roman"/>
                <w:b/>
                <w:b/>
                <w:sz w:val="20"/>
              </w:rPr>
            </w:pPr>
            <w:r>
              <w:rPr>
                <w:rFonts w:ascii="Times New Roman" w:hAnsi="Times New Roman"/>
                <w:b/>
                <w:sz w:val="20"/>
              </w:rPr>
              <w:t>lab</w:t>
            </w:r>
          </w:p>
        </w:tc>
        <w:tc>
          <w:tcPr>
            <w:tcW w:w="1548" w:type="dxa"/>
            <w:gridSpan w:val="2"/>
            <w:tcBorders>
              <w:top w:val="single" w:sz="4" w:space="0" w:color="000000"/>
              <w:left w:val="doub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name</w:t>
            </w:r>
          </w:p>
        </w:tc>
        <w:tc>
          <w:tcPr>
            <w:tcW w:w="12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email</w:t>
            </w:r>
          </w:p>
        </w:tc>
        <w:tc>
          <w:tcPr>
            <w:tcW w:w="7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title</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0"/>
              </w:rPr>
            </w:pPr>
            <w:r>
              <w:rPr>
                <w:rFonts w:ascii="Times New Roman" w:hAnsi="Times New Roman"/>
                <w:b/>
                <w:sz w:val="20"/>
              </w:rPr>
              <w:t>lab</w:t>
            </w:r>
          </w:p>
        </w:tc>
      </w:tr>
      <w:tr>
        <w:trPr>
          <w:trHeight w:val="448" w:hRule="atLeast"/>
          <w:cantSplit w:val="true"/>
        </w:trPr>
        <w:tc>
          <w:tcPr>
            <w:tcW w:w="1173" w:type="dxa"/>
            <w:vMerge w:val="continue"/>
            <w:tcBorders>
              <w:top w:val="single" w:sz="4" w:space="0" w:color="000000"/>
              <w:left w:val="single" w:sz="4" w:space="0" w:color="000000"/>
              <w:bottom w:val="single"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c>
          <w:tcPr>
            <w:tcW w:w="1325" w:type="dxa"/>
            <w:gridSpan w:val="2"/>
            <w:tcBorders>
              <w:top w:val="single" w:sz="4" w:space="0" w:color="000000"/>
              <w:left w:val="double" w:sz="4" w:space="0" w:color="000000"/>
              <w:bottom w:val="dotted" w:sz="4" w:space="0" w:color="000000"/>
              <w:right w:val="single" w:sz="4" w:space="0" w:color="000000"/>
            </w:tcBorders>
          </w:tcPr>
          <w:p>
            <w:pPr>
              <w:pStyle w:val="Normal"/>
              <w:widowControl w:val="false"/>
              <w:rPr>
                <w:lang w:val="it-IT"/>
              </w:rPr>
            </w:pPr>
            <w:r>
              <w:rPr>
                <w:lang w:val="it-IT"/>
              </w:rPr>
              <w:t xml:space="preserve"> </w:t>
            </w:r>
            <w:r>
              <w:rPr>
                <w:rFonts w:ascii="Times New Roman" w:hAnsi="Times New Roman"/>
                <w:sz w:val="20"/>
                <w:lang w:val="it-IT"/>
              </w:rPr>
              <w:t>Popov Boris</w:t>
            </w:r>
          </w:p>
        </w:tc>
        <w:tc>
          <w:tcPr>
            <w:tcW w:w="1367" w:type="dxa"/>
            <w:tcBorders>
              <w:top w:val="single" w:sz="4" w:space="0" w:color="000000"/>
              <w:left w:val="single" w:sz="4" w:space="0" w:color="000000"/>
              <w:bottom w:val="dotted" w:sz="4" w:space="0" w:color="000000"/>
              <w:right w:val="single" w:sz="4" w:space="0" w:color="000000"/>
            </w:tcBorders>
          </w:tcPr>
          <w:p>
            <w:pPr>
              <w:pStyle w:val="Normal"/>
              <w:widowControl w:val="false"/>
              <w:rPr>
                <w:sz w:val="12"/>
                <w:lang w:val="it-IT"/>
              </w:rPr>
            </w:pPr>
            <w:r>
              <w:rPr>
                <w:rFonts w:ascii="Times New Roman" w:hAnsi="Times New Roman"/>
                <w:sz w:val="12"/>
                <w:szCs w:val="14"/>
                <w:bdr w:val="dotted" w:sz="4" w:space="0" w:color="000000"/>
                <w:lang w:val="it-IT"/>
              </w:rPr>
              <w:t>popov@lpnhe.in2p3.fr</w:t>
            </w:r>
          </w:p>
        </w:tc>
        <w:tc>
          <w:tcPr>
            <w:tcW w:w="619" w:type="dxa"/>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 xml:space="preserve">  </w:t>
            </w:r>
            <w:r>
              <w:rPr>
                <w:rFonts w:ascii="Times New Roman" w:hAnsi="Times New Roman"/>
                <w:sz w:val="20"/>
              </w:rPr>
              <w:t>DR</w:t>
            </w:r>
          </w:p>
        </w:tc>
        <w:tc>
          <w:tcPr>
            <w:tcW w:w="852" w:type="dxa"/>
            <w:gridSpan w:val="3"/>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color w:val="111111"/>
                <w:sz w:val="20"/>
              </w:rPr>
            </w:pPr>
            <w:r>
              <w:rPr>
                <w:rFonts w:ascii="Times New Roman" w:hAnsi="Times New Roman"/>
                <w:color w:val="111111"/>
                <w:sz w:val="20"/>
              </w:rPr>
              <w:t>LPNHE</w:t>
            </w:r>
          </w:p>
        </w:tc>
        <w:tc>
          <w:tcPr>
            <w:tcW w:w="1548" w:type="dxa"/>
            <w:gridSpan w:val="2"/>
            <w:tcBorders>
              <w:top w:val="single" w:sz="4" w:space="0" w:color="000000"/>
              <w:left w:val="double" w:sz="4" w:space="0" w:color="000000"/>
              <w:bottom w:val="dotted" w:sz="4" w:space="0" w:color="000000"/>
              <w:right w:val="single" w:sz="4" w:space="0" w:color="000000"/>
            </w:tcBorders>
          </w:tcPr>
          <w:p>
            <w:pPr>
              <w:pStyle w:val="Normal"/>
              <w:widowControl w:val="false"/>
              <w:pBdr>
                <w:top w:val="dotted" w:sz="4" w:space="1" w:color="000000"/>
                <w:left w:val="dotted" w:sz="4" w:space="4" w:color="000000"/>
                <w:bottom w:val="dotted" w:sz="4" w:space="1" w:color="000000"/>
                <w:right w:val="dotted" w:sz="4" w:space="4" w:color="000000"/>
              </w:pBdr>
              <w:jc w:val="center"/>
              <w:rPr>
                <w:u w:val="none"/>
              </w:rPr>
            </w:pPr>
            <w:r>
              <w:rPr>
                <w:rFonts w:ascii="Times New Roman" w:hAnsi="Times New Roman"/>
                <w:szCs w:val="21"/>
                <w:u w:val="none"/>
                <w:lang w:val="it-IT"/>
              </w:rPr>
              <w:t>Sakashita Ken</w:t>
            </w:r>
          </w:p>
        </w:tc>
        <w:tc>
          <w:tcPr>
            <w:tcW w:w="1271" w:type="dxa"/>
            <w:gridSpan w:val="3"/>
            <w:tcBorders>
              <w:top w:val="single" w:sz="4" w:space="0" w:color="000000"/>
              <w:left w:val="single" w:sz="4" w:space="0" w:color="000000"/>
              <w:bottom w:val="dotted" w:sz="4" w:space="0" w:color="000000"/>
              <w:right w:val="single" w:sz="4" w:space="0" w:color="000000"/>
            </w:tcBorders>
          </w:tcPr>
          <w:p>
            <w:pPr>
              <w:pStyle w:val="Normal"/>
              <w:widowControl w:val="false"/>
              <w:jc w:val="left"/>
              <w:rPr>
                <w:sz w:val="12"/>
                <w:szCs w:val="12"/>
                <w:u w:val="single"/>
              </w:rPr>
            </w:pPr>
            <w:r>
              <w:rPr>
                <w:rFonts w:ascii="Times New Roman" w:hAnsi="Times New Roman"/>
                <w:sz w:val="12"/>
                <w:szCs w:val="12"/>
                <w:u w:val="single"/>
                <w:lang w:val="it-IT"/>
              </w:rPr>
              <w:t>kensh@post.kek.jp</w:t>
            </w:r>
          </w:p>
        </w:tc>
        <w:tc>
          <w:tcPr>
            <w:tcW w:w="711"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t xml:space="preserve"> </w:t>
            </w:r>
            <w:r>
              <w:rPr>
                <w:rFonts w:eastAsia="SimSun" w:ascii="Times New Roman" w:hAnsi="Times New Roman"/>
                <w:sz w:val="20"/>
                <w:lang w:eastAsia="zh-CN"/>
              </w:rPr>
              <w:t>Prof</w:t>
            </w:r>
          </w:p>
        </w:tc>
        <w:tc>
          <w:tcPr>
            <w:tcW w:w="711" w:type="dxa"/>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 xml:space="preserve"> </w:t>
            </w:r>
            <w:r>
              <w:rPr>
                <w:rFonts w:ascii="Times New Roman" w:hAnsi="Times New Roman"/>
                <w:sz w:val="20"/>
              </w:rPr>
              <w:t>KEK</w:t>
            </w:r>
          </w:p>
        </w:tc>
      </w:tr>
      <w:tr>
        <w:trPr>
          <w:trHeight w:val="315" w:hRule="atLeast"/>
          <w:cantSplit w:val="true"/>
        </w:trPr>
        <w:tc>
          <w:tcPr>
            <w:tcW w:w="9577"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r>
      <w:tr>
        <w:trPr>
          <w:trHeight w:val="359" w:hRule="atLeast"/>
          <w:cantSplit w:val="true"/>
        </w:trPr>
        <w:tc>
          <w:tcPr>
            <w:tcW w:w="9577" w:type="dxa"/>
            <w:gridSpan w:val="16"/>
            <w:tcBorders>
              <w:top w:val="double" w:sz="4" w:space="0" w:color="000000"/>
              <w:left w:val="double" w:sz="4" w:space="0" w:color="000000"/>
              <w:bottom w:val="single" w:sz="4" w:space="0" w:color="000000"/>
              <w:right w:val="doub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Spending on French Funds</w:t>
            </w:r>
          </w:p>
        </w:tc>
      </w:tr>
      <w:tr>
        <w:trPr>
          <w:trHeight w:val="359" w:hRule="atLeast"/>
          <w:cantSplit w:val="true"/>
        </w:trPr>
        <w:tc>
          <w:tcPr>
            <w:tcW w:w="3865" w:type="dxa"/>
            <w:gridSpan w:val="4"/>
            <w:tcBorders>
              <w:top w:val="single" w:sz="4" w:space="0" w:color="000000"/>
              <w:left w:val="doub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Description</w:t>
            </w:r>
          </w:p>
        </w:tc>
        <w:tc>
          <w:tcPr>
            <w:tcW w:w="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b/>
                <w:b/>
                <w:sz w:val="18"/>
                <w:szCs w:val="18"/>
                <w:lang w:eastAsia="zh-CN"/>
              </w:rPr>
            </w:pPr>
            <w:r>
              <w:rPr>
                <w:rFonts w:ascii="Times New Roman" w:hAnsi="Times New Roman"/>
                <w:b/>
                <w:sz w:val="18"/>
                <w:szCs w:val="18"/>
              </w:rPr>
              <w:t>€</w:t>
            </w:r>
            <w:r>
              <w:rPr>
                <w:rFonts w:ascii="Times New Roman" w:hAnsi="Times New Roman"/>
                <w:b/>
                <w:sz w:val="18"/>
                <w:szCs w:val="18"/>
              </w:rPr>
              <w:t>/unit</w:t>
            </w:r>
          </w:p>
        </w:tc>
        <w:tc>
          <w:tcPr>
            <w:tcW w:w="12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Nb of units</w:t>
            </w:r>
          </w:p>
        </w:tc>
        <w:tc>
          <w:tcPr>
            <w:tcW w:w="1258" w:type="dxa"/>
            <w:gridSpan w:val="2"/>
            <w:tcBorders>
              <w:top w:val="single" w:sz="4" w:space="0" w:color="000000"/>
              <w:left w:val="single" w:sz="4" w:space="0" w:color="000000"/>
              <w:bottom w:val="single" w:sz="4" w:space="0" w:color="000000"/>
              <w:right w:val="single" w:sz="4" w:space="0" w:color="000000"/>
            </w:tcBorders>
          </w:tcPr>
          <w:p>
            <w:pPr>
              <w:pStyle w:val="Heading4"/>
              <w:widowControl w:val="false"/>
              <w:rPr>
                <w:sz w:val="18"/>
                <w:szCs w:val="18"/>
              </w:rPr>
            </w:pPr>
            <w:r>
              <w:rPr>
                <w:rFonts w:eastAsia="SimSun"/>
                <w:sz w:val="18"/>
                <w:szCs w:val="18"/>
                <w:lang w:eastAsia="zh-CN"/>
              </w:rPr>
              <w:t>Total (€)</w:t>
            </w:r>
          </w:p>
        </w:tc>
        <w:tc>
          <w:tcPr>
            <w:tcW w:w="2276" w:type="dxa"/>
            <w:gridSpan w:val="5"/>
            <w:tcBorders>
              <w:top w:val="single" w:sz="4" w:space="0" w:color="000000"/>
              <w:left w:val="single" w:sz="4" w:space="0" w:color="000000"/>
              <w:bottom w:val="single" w:sz="4" w:space="0" w:color="000000"/>
              <w:right w:val="double" w:sz="4" w:space="0" w:color="000000"/>
            </w:tcBorders>
          </w:tcPr>
          <w:p>
            <w:pPr>
              <w:pStyle w:val="Heading4"/>
              <w:widowControl w:val="false"/>
              <w:rPr>
                <w:sz w:val="18"/>
                <w:szCs w:val="18"/>
              </w:rPr>
            </w:pPr>
            <w:r>
              <w:rPr>
                <w:rFonts w:eastAsia="SimSun"/>
                <w:sz w:val="18"/>
                <w:szCs w:val="18"/>
                <w:lang w:eastAsia="zh-CN"/>
              </w:rPr>
              <w:t>Provided by</w:t>
            </w:r>
            <w:r>
              <w:rPr>
                <w:sz w:val="18"/>
                <w:szCs w:val="18"/>
              </w:rPr>
              <w:t>:</w:t>
            </w:r>
            <w:r>
              <w:rPr>
                <w:sz w:val="18"/>
                <w:szCs w:val="18"/>
                <w:vertAlign w:val="superscript"/>
              </w:rPr>
              <w:t>1</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color w:val="111111"/>
              </w:rPr>
            </w:pPr>
            <w:r>
              <w:rPr>
                <w:rFonts w:eastAsia="SimSun" w:ascii="Times New Roman" w:hAnsi="Times New Roman"/>
                <w:color w:val="111111"/>
                <w:sz w:val="18"/>
                <w:szCs w:val="18"/>
                <w:lang w:eastAsia="zh-CN"/>
              </w:rPr>
              <w:t>Visit to Japan</w:t>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150/day</w:t>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10 days</w:t>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1500</w:t>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color w:val="111111"/>
              </w:rPr>
            </w:pPr>
            <w:r>
              <w:rPr>
                <w:rFonts w:eastAsia="SimSun" w:ascii="Times New Roman" w:hAnsi="Times New Roman"/>
                <w:color w:val="111111"/>
                <w:sz w:val="18"/>
                <w:szCs w:val="18"/>
                <w:lang w:eastAsia="zh-CN"/>
              </w:rPr>
              <w:t>IN2P3</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color w:val="111111"/>
              </w:rPr>
            </w:pPr>
            <w:r>
              <w:rPr>
                <w:rFonts w:eastAsia="SimSun" w:ascii="Times New Roman" w:hAnsi="Times New Roman"/>
                <w:color w:val="111111"/>
                <w:sz w:val="18"/>
                <w:szCs w:val="18"/>
                <w:lang w:eastAsia="zh-CN"/>
              </w:rPr>
              <w:t>Travel</w:t>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1000</w:t>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 travel</w:t>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1000</w:t>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color w:val="111111"/>
              </w:rPr>
            </w:pPr>
            <w:r>
              <w:rPr>
                <w:rFonts w:eastAsia="SimSun" w:ascii="Times New Roman" w:hAnsi="Times New Roman"/>
                <w:color w:val="111111"/>
                <w:sz w:val="18"/>
                <w:szCs w:val="18"/>
                <w:lang w:eastAsia="zh-CN"/>
              </w:rPr>
              <w:t>IN2P3</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129" w:hRule="atLeast"/>
          <w:cantSplit w:val="true"/>
        </w:trPr>
        <w:tc>
          <w:tcPr>
            <w:tcW w:w="3865" w:type="dxa"/>
            <w:gridSpan w:val="4"/>
            <w:tcBorders>
              <w:top w:val="sing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18"/>
                <w:szCs w:val="18"/>
              </w:rPr>
            </w:pPr>
            <w:r>
              <w:rPr>
                <w:rFonts w:ascii="Times New Roman" w:hAnsi="Times New Roman"/>
                <w:sz w:val="18"/>
                <w:szCs w:val="18"/>
              </w:rPr>
              <w:t>Total</w:t>
            </w:r>
          </w:p>
        </w:tc>
        <w:tc>
          <w:tcPr>
            <w:tcW w:w="922" w:type="dxa"/>
            <w:gridSpan w:val="2"/>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jc w:val="right"/>
              <w:rPr>
                <w:color w:val="111111"/>
              </w:rPr>
            </w:pPr>
            <w:r>
              <w:rPr>
                <w:rFonts w:eastAsia="SimSun" w:ascii="Times New Roman" w:hAnsi="Times New Roman"/>
                <w:color w:val="111111"/>
                <w:sz w:val="18"/>
                <w:szCs w:val="18"/>
                <w:lang w:eastAsia="zh-CN"/>
              </w:rPr>
              <w:t>2500</w:t>
            </w:r>
          </w:p>
        </w:tc>
        <w:tc>
          <w:tcPr>
            <w:tcW w:w="2276" w:type="dxa"/>
            <w:gridSpan w:val="5"/>
            <w:tcBorders>
              <w:top w:val="single" w:sz="4" w:space="0" w:color="000000"/>
              <w:left w:val="single" w:sz="4" w:space="0" w:color="000000"/>
              <w:bottom w:val="double" w:sz="4" w:space="0" w:color="000000"/>
              <w:right w:val="double" w:sz="4" w:space="0" w:color="000000"/>
            </w:tcBorders>
            <w:shd w:color="auto" w:fill="B3B3B3"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9577" w:type="dxa"/>
            <w:gridSpan w:val="16"/>
            <w:tcBorders>
              <w:top w:val="double" w:sz="4" w:space="0" w:color="000000"/>
              <w:left w:val="double" w:sz="4" w:space="0" w:color="000000"/>
              <w:bottom w:val="single" w:sz="4" w:space="0" w:color="000000"/>
              <w:right w:val="doub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Spending on KEK Fund</w:t>
            </w:r>
          </w:p>
        </w:tc>
      </w:tr>
      <w:tr>
        <w:trPr>
          <w:trHeight w:val="359" w:hRule="atLeast"/>
          <w:cantSplit w:val="true"/>
        </w:trPr>
        <w:tc>
          <w:tcPr>
            <w:tcW w:w="3865" w:type="dxa"/>
            <w:gridSpan w:val="4"/>
            <w:tcBorders>
              <w:top w:val="single" w:sz="4" w:space="0" w:color="000000"/>
              <w:left w:val="doub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Description</w:t>
            </w:r>
          </w:p>
        </w:tc>
        <w:tc>
          <w:tcPr>
            <w:tcW w:w="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18"/>
                <w:szCs w:val="18"/>
              </w:rPr>
            </w:pPr>
            <w:r>
              <w:rPr>
                <w:rFonts w:ascii="Times New Roman" w:hAnsi="Times New Roman"/>
                <w:b/>
                <w:sz w:val="18"/>
                <w:szCs w:val="18"/>
              </w:rPr>
              <w:t>k¥/Unit</w:t>
            </w:r>
          </w:p>
        </w:tc>
        <w:tc>
          <w:tcPr>
            <w:tcW w:w="12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18"/>
                <w:szCs w:val="18"/>
              </w:rPr>
            </w:pPr>
            <w:r>
              <w:rPr>
                <w:rFonts w:eastAsia="SimSun" w:ascii="Times New Roman" w:hAnsi="Times New Roman"/>
                <w:b/>
                <w:sz w:val="18"/>
                <w:szCs w:val="18"/>
                <w:lang w:eastAsia="zh-CN"/>
              </w:rPr>
              <w:t>Nb of units</w:t>
            </w:r>
          </w:p>
        </w:tc>
        <w:tc>
          <w:tcPr>
            <w:tcW w:w="12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b/>
                <w:b/>
                <w:sz w:val="18"/>
                <w:szCs w:val="18"/>
                <w:lang w:eastAsia="zh-CN"/>
              </w:rPr>
            </w:pPr>
            <w:r>
              <w:rPr>
                <w:rFonts w:eastAsia="SimSun" w:ascii="Times New Roman" w:hAnsi="Times New Roman"/>
                <w:b/>
                <w:sz w:val="18"/>
                <w:szCs w:val="18"/>
                <w:lang w:eastAsia="zh-CN"/>
              </w:rPr>
              <w:t>Total (k¥)</w:t>
            </w:r>
          </w:p>
        </w:tc>
        <w:tc>
          <w:tcPr>
            <w:tcW w:w="2276" w:type="dxa"/>
            <w:gridSpan w:val="5"/>
            <w:tcBorders>
              <w:top w:val="single" w:sz="4" w:space="0" w:color="000000"/>
              <w:left w:val="single" w:sz="4" w:space="0" w:color="000000"/>
              <w:bottom w:val="single" w:sz="4" w:space="0" w:color="000000"/>
              <w:right w:val="double" w:sz="4" w:space="0" w:color="000000"/>
            </w:tcBorders>
          </w:tcPr>
          <w:p>
            <w:pPr>
              <w:pStyle w:val="Heading4"/>
              <w:widowControl w:val="false"/>
              <w:rPr>
                <w:sz w:val="18"/>
                <w:szCs w:val="18"/>
              </w:rPr>
            </w:pPr>
            <w:r>
              <w:rPr>
                <w:rFonts w:eastAsia="SimSun"/>
                <w:sz w:val="18"/>
                <w:szCs w:val="18"/>
                <w:lang w:eastAsia="zh-CN"/>
              </w:rPr>
              <w:t>Provided by</w:t>
            </w:r>
            <w:r>
              <w:rPr>
                <w:sz w:val="18"/>
                <w:szCs w:val="18"/>
              </w:rPr>
              <w:t>:</w:t>
            </w:r>
            <w:r>
              <w:rPr>
                <w:sz w:val="18"/>
                <w:szCs w:val="18"/>
                <w:vertAlign w:val="superscript"/>
              </w:rPr>
              <w:t>1</w:t>
            </w:r>
          </w:p>
        </w:tc>
      </w:tr>
      <w:tr>
        <w:trPr>
          <w:trHeight w:val="359" w:hRule="atLeast"/>
          <w:cantSplit w:val="true"/>
        </w:trPr>
        <w:tc>
          <w:tcPr>
            <w:tcW w:w="3865" w:type="dxa"/>
            <w:gridSpan w:val="4"/>
            <w:tcBorders>
              <w:top w:val="single"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Visit to France</w:t>
            </w:r>
          </w:p>
        </w:tc>
        <w:tc>
          <w:tcPr>
            <w:tcW w:w="922" w:type="dxa"/>
            <w:gridSpan w:val="2"/>
            <w:tcBorders>
              <w:top w:val="single"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20/day</w:t>
            </w:r>
          </w:p>
        </w:tc>
        <w:tc>
          <w:tcPr>
            <w:tcW w:w="1256" w:type="dxa"/>
            <w:gridSpan w:val="3"/>
            <w:tcBorders>
              <w:top w:val="single"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10 days</w:t>
            </w:r>
          </w:p>
        </w:tc>
        <w:tc>
          <w:tcPr>
            <w:tcW w:w="1258" w:type="dxa"/>
            <w:gridSpan w:val="2"/>
            <w:tcBorders>
              <w:top w:val="single"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200</w:t>
            </w:r>
          </w:p>
        </w:tc>
        <w:tc>
          <w:tcPr>
            <w:tcW w:w="2276" w:type="dxa"/>
            <w:gridSpan w:val="5"/>
            <w:tcBorders>
              <w:top w:val="single" w:sz="4" w:space="0" w:color="000000"/>
              <w:left w:val="dotted" w:sz="4" w:space="0" w:color="000000"/>
              <w:bottom w:val="dotted" w:sz="4" w:space="0" w:color="000000"/>
              <w:right w:val="double" w:sz="4" w:space="0" w:color="000000"/>
            </w:tcBorders>
            <w:shd w:color="auto" w:fill="auto" w:val="clear"/>
          </w:tcPr>
          <w:p>
            <w:pPr>
              <w:pStyle w:val="Normal"/>
              <w:widowControl w:val="false"/>
              <w:jc w:val="lef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KEK</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ind w:left="180" w:hanging="180"/>
              <w:rPr>
                <w:rFonts w:ascii="Times New Roman" w:hAnsi="Times New Roman"/>
                <w:color w:val="FF6600"/>
                <w:sz w:val="18"/>
                <w:szCs w:val="18"/>
              </w:rPr>
            </w:pPr>
            <w:r>
              <w:rPr>
                <w:rFonts w:eastAsia="SimSun" w:ascii="Times New Roman" w:hAnsi="Times New Roman"/>
                <w:color w:val="FF6600"/>
                <w:sz w:val="18"/>
                <w:szCs w:val="18"/>
                <w:lang w:eastAsia="zh-CN"/>
              </w:rPr>
              <w:t>Travel</w:t>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150</w:t>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eastAsia="SimSun" w:ascii="Times New Roman" w:hAnsi="Times New Roman"/>
                <w:color w:val="FF6600"/>
                <w:sz w:val="18"/>
                <w:szCs w:val="18"/>
                <w:lang w:eastAsia="zh-CN"/>
              </w:rPr>
              <w:t>1 travel</w:t>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150</w:t>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KEK</w:t>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dotted" w:sz="4" w:space="0" w:color="000000"/>
              <w:right w:val="double" w:sz="4" w:space="0" w:color="000000"/>
            </w:tcBorders>
            <w:shd w:color="auto" w:fill="auto"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59" w:hRule="atLeast"/>
          <w:cantSplit w:val="true"/>
        </w:trPr>
        <w:tc>
          <w:tcPr>
            <w:tcW w:w="3865" w:type="dxa"/>
            <w:gridSpan w:val="4"/>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c>
          <w:tcPr>
            <w:tcW w:w="922"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jc w:val="right"/>
              <w:rPr>
                <w:rFonts w:ascii="Times New Roman" w:hAnsi="Times New Roman"/>
                <w:color w:val="FF6600"/>
                <w:sz w:val="18"/>
                <w:szCs w:val="18"/>
              </w:rPr>
            </w:pPr>
            <w:r>
              <w:rPr>
                <w:rFonts w:ascii="Times New Roman" w:hAnsi="Times New Roman"/>
                <w:color w:val="FF6600"/>
                <w:sz w:val="18"/>
                <w:szCs w:val="18"/>
              </w:rPr>
            </w:r>
          </w:p>
        </w:tc>
        <w:tc>
          <w:tcPr>
            <w:tcW w:w="1258"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tted" w:sz="4" w:space="0" w:color="000000"/>
              <w:left w:val="dotted" w:sz="4" w:space="0" w:color="000000"/>
              <w:bottom w:val="single" w:sz="4" w:space="0" w:color="000000"/>
              <w:right w:val="double" w:sz="4" w:space="0" w:color="000000"/>
            </w:tcBorders>
            <w:shd w:color="auto" w:fill="auto" w:val="clear"/>
          </w:tcPr>
          <w:p>
            <w:pPr>
              <w:pStyle w:val="Normal"/>
              <w:widowControl w:val="false"/>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r>
      <w:tr>
        <w:trPr>
          <w:trHeight w:val="129" w:hRule="atLeast"/>
          <w:cantSplit w:val="true"/>
        </w:trPr>
        <w:tc>
          <w:tcPr>
            <w:tcW w:w="3865" w:type="dxa"/>
            <w:gridSpan w:val="4"/>
            <w:tcBorders>
              <w:top w:val="sing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18"/>
                <w:szCs w:val="18"/>
              </w:rPr>
            </w:pPr>
            <w:r>
              <w:rPr>
                <w:rFonts w:ascii="Times New Roman" w:hAnsi="Times New Roman"/>
                <w:sz w:val="18"/>
                <w:szCs w:val="18"/>
              </w:rPr>
              <w:t>Total</w:t>
            </w:r>
          </w:p>
        </w:tc>
        <w:tc>
          <w:tcPr>
            <w:tcW w:w="922" w:type="dxa"/>
            <w:gridSpan w:val="2"/>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single" w:sz="4" w:space="0" w:color="000000"/>
              <w:left w:val="single" w:sz="4" w:space="0" w:color="000000"/>
              <w:bottom w:val="double" w:sz="4" w:space="0" w:color="000000"/>
              <w:right w:val="single" w:sz="4" w:space="0" w:color="000000"/>
            </w:tcBorders>
            <w:shd w:color="auto" w:fill="B3B3B3" w:val="clear"/>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t>350</w:t>
            </w:r>
          </w:p>
        </w:tc>
        <w:tc>
          <w:tcPr>
            <w:tcW w:w="2276" w:type="dxa"/>
            <w:gridSpan w:val="5"/>
            <w:tcBorders>
              <w:top w:val="single" w:sz="4" w:space="0" w:color="000000"/>
              <w:left w:val="single" w:sz="4" w:space="0" w:color="000000"/>
              <w:bottom w:val="double" w:sz="4" w:space="0" w:color="000000"/>
              <w:right w:val="double" w:sz="4" w:space="0" w:color="000000"/>
            </w:tcBorders>
            <w:shd w:color="auto" w:fill="B3B3B3" w:val="clear"/>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129" w:hRule="atLeast"/>
          <w:cantSplit w:val="true"/>
        </w:trPr>
        <w:tc>
          <w:tcPr>
            <w:tcW w:w="3865" w:type="dxa"/>
            <w:gridSpan w:val="4"/>
            <w:tcBorders>
              <w:top w:val="double" w:sz="4" w:space="0" w:color="000000"/>
              <w:left w:val="single" w:sz="4" w:space="0" w:color="000000"/>
              <w:bottom w:val="double" w:sz="4" w:space="0" w:color="000000"/>
            </w:tcBorders>
          </w:tcPr>
          <w:p>
            <w:pPr>
              <w:pStyle w:val="Normal"/>
              <w:widowControl w:val="false"/>
              <w:rPr>
                <w:rFonts w:ascii="Times New Roman" w:hAnsi="Times New Roman"/>
                <w:sz w:val="18"/>
                <w:szCs w:val="18"/>
              </w:rPr>
            </w:pPr>
            <w:r>
              <w:rPr>
                <w:rFonts w:ascii="Times New Roman" w:hAnsi="Times New Roman"/>
                <w:sz w:val="18"/>
                <w:szCs w:val="18"/>
              </w:rPr>
            </w:r>
          </w:p>
        </w:tc>
        <w:tc>
          <w:tcPr>
            <w:tcW w:w="922" w:type="dxa"/>
            <w:gridSpan w:val="2"/>
            <w:tcBorders>
              <w:top w:val="double" w:sz="4" w:space="0" w:color="000000"/>
              <w:bottom w:val="double" w:sz="4" w:space="0" w:color="000000"/>
            </w:tcBorders>
          </w:tcPr>
          <w:p>
            <w:pPr>
              <w:pStyle w:val="Normal"/>
              <w:widowControl w:val="false"/>
              <w:jc w:val="left"/>
              <w:rPr>
                <w:rFonts w:ascii="Times New Roman" w:hAnsi="Times New Roman"/>
                <w:color w:val="FF6600"/>
                <w:sz w:val="18"/>
                <w:szCs w:val="18"/>
              </w:rPr>
            </w:pPr>
            <w:r>
              <w:rPr>
                <w:rFonts w:ascii="Times New Roman" w:hAnsi="Times New Roman"/>
                <w:color w:val="FF6600"/>
                <w:sz w:val="18"/>
                <w:szCs w:val="18"/>
              </w:rPr>
            </w:r>
          </w:p>
        </w:tc>
        <w:tc>
          <w:tcPr>
            <w:tcW w:w="1256" w:type="dxa"/>
            <w:gridSpan w:val="3"/>
            <w:tcBorders>
              <w:top w:val="double" w:sz="4" w:space="0" w:color="000000"/>
              <w:bottom w:val="doub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1258" w:type="dxa"/>
            <w:gridSpan w:val="2"/>
            <w:tcBorders>
              <w:top w:val="double" w:sz="4" w:space="0" w:color="000000"/>
              <w:bottom w:val="double" w:sz="4" w:space="0" w:color="000000"/>
            </w:tcBorders>
          </w:tcPr>
          <w:p>
            <w:pPr>
              <w:pStyle w:val="Normal"/>
              <w:widowControl w:val="false"/>
              <w:jc w:val="right"/>
              <w:rPr>
                <w:rFonts w:ascii="Times New Roman" w:hAnsi="Times New Roman" w:eastAsia="SimSun"/>
                <w:color w:val="FF6600"/>
                <w:sz w:val="18"/>
                <w:szCs w:val="18"/>
                <w:lang w:eastAsia="zh-CN"/>
              </w:rPr>
            </w:pPr>
            <w:r>
              <w:rPr>
                <w:rFonts w:eastAsia="SimSun" w:ascii="Times New Roman" w:hAnsi="Times New Roman"/>
                <w:color w:val="FF6600"/>
                <w:sz w:val="18"/>
                <w:szCs w:val="18"/>
                <w:lang w:eastAsia="zh-CN"/>
              </w:rPr>
            </w:r>
          </w:p>
        </w:tc>
        <w:tc>
          <w:tcPr>
            <w:tcW w:w="2276" w:type="dxa"/>
            <w:gridSpan w:val="5"/>
            <w:tcBorders>
              <w:top w:val="double" w:sz="4" w:space="0" w:color="000000"/>
              <w:bottom w:val="double" w:sz="4" w:space="0" w:color="000000"/>
              <w:right w:val="single" w:sz="4" w:space="0" w:color="000000"/>
            </w:tcBorders>
          </w:tcPr>
          <w:p>
            <w:pPr>
              <w:pStyle w:val="Normal"/>
              <w:widowControl w:val="false"/>
              <w:rPr>
                <w:rFonts w:ascii="Times New Roman" w:hAnsi="Times New Roman"/>
                <w:color w:val="FF6600"/>
                <w:sz w:val="18"/>
                <w:szCs w:val="18"/>
              </w:rPr>
            </w:pPr>
            <w:r>
              <w:rPr>
                <w:rFonts w:ascii="Times New Roman" w:hAnsi="Times New Roman"/>
                <w:color w:val="FF6600"/>
                <w:sz w:val="18"/>
                <w:szCs w:val="18"/>
              </w:rPr>
            </w:r>
          </w:p>
        </w:tc>
      </w:tr>
      <w:tr>
        <w:trPr>
          <w:trHeight w:val="315" w:hRule="atLeast"/>
          <w:cantSplit w:val="true"/>
        </w:trPr>
        <w:tc>
          <w:tcPr>
            <w:tcW w:w="4961" w:type="dxa"/>
            <w:gridSpan w:val="7"/>
            <w:tcBorders>
              <w:top w:val="double" w:sz="4" w:space="0" w:color="000000"/>
              <w:left w:val="double" w:sz="4" w:space="0" w:color="000000"/>
              <w:bottom w:val="dotted" w:sz="4" w:space="0" w:color="000000"/>
              <w:right w:val="double" w:sz="4" w:space="0" w:color="000000"/>
            </w:tcBorders>
            <w:vAlign w:val="center"/>
          </w:tcPr>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Additional spending on French funds</w:t>
            </w:r>
          </w:p>
        </w:tc>
        <w:tc>
          <w:tcPr>
            <w:tcW w:w="4616" w:type="dxa"/>
            <w:gridSpan w:val="9"/>
            <w:tcBorders>
              <w:top w:val="double" w:sz="4" w:space="0" w:color="000000"/>
              <w:left w:val="double" w:sz="4" w:space="0" w:color="000000"/>
              <w:bottom w:val="dotted" w:sz="4" w:space="0" w:color="000000"/>
              <w:right w:val="double" w:sz="4" w:space="0" w:color="000000"/>
            </w:tcBorders>
            <w:vAlign w:val="center"/>
          </w:tcPr>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Additional spending on Japan funds</w:t>
            </w:r>
          </w:p>
        </w:tc>
      </w:tr>
      <w:tr>
        <w:trPr>
          <w:trHeight w:val="315" w:hRule="atLeast"/>
          <w:cantSplit w:val="true"/>
        </w:trPr>
        <w:tc>
          <w:tcPr>
            <w:tcW w:w="2440" w:type="dxa"/>
            <w:gridSpan w:val="2"/>
            <w:tcBorders>
              <w:top w:val="double"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Provided by:</w:t>
            </w:r>
            <w:r>
              <w:rPr>
                <w:rFonts w:eastAsia="SimSun" w:ascii="Times New Roman" w:hAnsi="Times New Roman"/>
                <w:b/>
                <w:sz w:val="20"/>
                <w:vertAlign w:val="superscript"/>
                <w:lang w:eastAsia="zh-CN"/>
              </w:rPr>
              <w:t>2</w:t>
            </w:r>
          </w:p>
        </w:tc>
        <w:tc>
          <w:tcPr>
            <w:tcW w:w="2044" w:type="dxa"/>
            <w:gridSpan w:val="3"/>
            <w:tcBorders>
              <w:top w:val="double"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Type</w:t>
            </w:r>
          </w:p>
        </w:tc>
        <w:tc>
          <w:tcPr>
            <w:tcW w:w="477" w:type="dxa"/>
            <w:gridSpan w:val="2"/>
            <w:tcBorders>
              <w:top w:val="double"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w:t>
            </w:r>
          </w:p>
        </w:tc>
        <w:tc>
          <w:tcPr>
            <w:tcW w:w="2510" w:type="dxa"/>
            <w:gridSpan w:val="5"/>
            <w:tcBorders>
              <w:top w:val="double"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Provided by:</w:t>
            </w:r>
            <w:r>
              <w:rPr>
                <w:rFonts w:eastAsia="SimSun" w:ascii="Times New Roman" w:hAnsi="Times New Roman"/>
                <w:b/>
                <w:sz w:val="20"/>
                <w:vertAlign w:val="superscript"/>
                <w:lang w:eastAsia="zh-CN"/>
              </w:rPr>
              <w:t>3</w:t>
            </w:r>
          </w:p>
        </w:tc>
        <w:tc>
          <w:tcPr>
            <w:tcW w:w="1263" w:type="dxa"/>
            <w:gridSpan w:val="2"/>
            <w:tcBorders>
              <w:top w:val="double"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b/>
                <w:b/>
                <w:sz w:val="20"/>
              </w:rPr>
            </w:pPr>
            <w:r>
              <w:rPr>
                <w:rFonts w:ascii="Times New Roman" w:hAnsi="Times New Roman"/>
                <w:b/>
                <w:sz w:val="20"/>
              </w:rPr>
              <w:t>Type</w:t>
            </w:r>
          </w:p>
        </w:tc>
        <w:tc>
          <w:tcPr>
            <w:tcW w:w="843" w:type="dxa"/>
            <w:gridSpan w:val="2"/>
            <w:tcBorders>
              <w:top w:val="double"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b/>
                <w:b/>
                <w:sz w:val="20"/>
                <w:lang w:eastAsia="zh-CN"/>
              </w:rPr>
            </w:pPr>
            <w:r>
              <w:rPr>
                <w:rFonts w:eastAsia="SimSun" w:ascii="Times New Roman" w:hAnsi="Times New Roman"/>
                <w:b/>
                <w:sz w:val="20"/>
                <w:lang w:eastAsia="zh-CN"/>
              </w:rPr>
              <w:t>k¥</w:t>
            </w:r>
          </w:p>
        </w:tc>
      </w:tr>
      <w:tr>
        <w:trPr>
          <w:trHeight w:val="315" w:hRule="atLeast"/>
          <w:cantSplit w:val="true"/>
        </w:trPr>
        <w:tc>
          <w:tcPr>
            <w:tcW w:w="2440" w:type="dxa"/>
            <w:gridSpan w:val="2"/>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r>
          </w:p>
        </w:tc>
        <w:tc>
          <w:tcPr>
            <w:tcW w:w="2044"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510" w:type="dxa"/>
            <w:gridSpan w:val="5"/>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color w:val="FF6600"/>
                <w:sz w:val="20"/>
              </w:rPr>
            </w:pPr>
            <w:r>
              <w:rPr>
                <w:rFonts w:ascii="Times New Roman" w:hAnsi="Times New Roman"/>
                <w:color w:val="FF6600"/>
                <w:sz w:val="20"/>
              </w:rPr>
            </w:r>
          </w:p>
        </w:tc>
        <w:tc>
          <w:tcPr>
            <w:tcW w:w="1263"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color w:val="FF6600"/>
                <w:sz w:val="20"/>
              </w:rPr>
            </w:pPr>
            <w:r>
              <w:rPr>
                <w:rFonts w:ascii="Times New Roman" w:hAnsi="Times New Roman"/>
                <w:color w:val="FF6600"/>
                <w:sz w:val="20"/>
              </w:rPr>
            </w:r>
          </w:p>
        </w:tc>
        <w:tc>
          <w:tcPr>
            <w:tcW w:w="843"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color w:val="FF6600"/>
                <w:sz w:val="20"/>
              </w:rPr>
            </w:pPr>
            <w:r>
              <w:rPr>
                <w:rFonts w:ascii="Times New Roman" w:hAnsi="Times New Roman"/>
                <w:color w:val="FF6600"/>
                <w:sz w:val="20"/>
              </w:rPr>
            </w:r>
          </w:p>
        </w:tc>
      </w:tr>
      <w:tr>
        <w:trPr>
          <w:trHeight w:val="315" w:hRule="atLeast"/>
          <w:cantSplit w:val="true"/>
        </w:trPr>
        <w:tc>
          <w:tcPr>
            <w:tcW w:w="2440" w:type="dxa"/>
            <w:gridSpan w:val="2"/>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r>
          </w:p>
        </w:tc>
        <w:tc>
          <w:tcPr>
            <w:tcW w:w="2044"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r>
          </w:p>
        </w:tc>
        <w:tc>
          <w:tcPr>
            <w:tcW w:w="2510" w:type="dxa"/>
            <w:gridSpan w:val="5"/>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1263"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843"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r>
      <w:tr>
        <w:trPr>
          <w:trHeight w:val="315" w:hRule="atLeast"/>
          <w:cantSplit w:val="true"/>
        </w:trPr>
        <w:tc>
          <w:tcPr>
            <w:tcW w:w="2440" w:type="dxa"/>
            <w:gridSpan w:val="2"/>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044" w:type="dxa"/>
            <w:gridSpan w:val="3"/>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510" w:type="dxa"/>
            <w:gridSpan w:val="5"/>
            <w:tcBorders>
              <w:top w:val="dotted" w:sz="4" w:space="0" w:color="000000"/>
              <w:left w:val="doub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1263" w:type="dxa"/>
            <w:gridSpan w:val="2"/>
            <w:tcBorders>
              <w:top w:val="dotted" w:sz="4" w:space="0" w:color="000000"/>
              <w:left w:val="single" w:sz="4" w:space="0" w:color="000000"/>
              <w:bottom w:val="dotted"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tc>
        <w:tc>
          <w:tcPr>
            <w:tcW w:w="843" w:type="dxa"/>
            <w:gridSpan w:val="2"/>
            <w:tcBorders>
              <w:top w:val="dotted" w:sz="4" w:space="0" w:color="000000"/>
              <w:left w:val="single" w:sz="4" w:space="0" w:color="000000"/>
              <w:bottom w:val="dotted"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r>
      <w:tr>
        <w:trPr>
          <w:trHeight w:val="315" w:hRule="atLeast"/>
          <w:cantSplit w:val="true"/>
        </w:trPr>
        <w:tc>
          <w:tcPr>
            <w:tcW w:w="2440" w:type="dxa"/>
            <w:gridSpan w:val="2"/>
            <w:tcBorders>
              <w:top w:val="dotted"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eastAsia="SimSun"/>
                <w:sz w:val="20"/>
                <w:lang w:eastAsia="zh-CN"/>
              </w:rPr>
            </w:pPr>
            <w:r>
              <w:rPr>
                <w:rFonts w:eastAsia="SimSun" w:ascii="Times New Roman" w:hAnsi="Times New Roman"/>
                <w:sz w:val="20"/>
                <w:lang w:eastAsia="zh-CN"/>
              </w:rPr>
              <w:t>Total</w:t>
            </w:r>
          </w:p>
        </w:tc>
        <w:tc>
          <w:tcPr>
            <w:tcW w:w="2044" w:type="dxa"/>
            <w:gridSpan w:val="3"/>
            <w:tcBorders>
              <w:top w:val="dotted" w:sz="4" w:space="0" w:color="000000"/>
              <w:left w:val="single" w:sz="4" w:space="0" w:color="000000"/>
              <w:bottom w:val="double" w:sz="4" w:space="0" w:color="000000"/>
              <w:right w:val="single" w:sz="4" w:space="0" w:color="000000"/>
            </w:tcBorders>
            <w:shd w:color="auto" w:fill="B3B3B3" w:val="clear"/>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477" w:type="dxa"/>
            <w:gridSpan w:val="2"/>
            <w:tcBorders>
              <w:top w:val="dotted" w:sz="4" w:space="0" w:color="000000"/>
              <w:left w:val="single" w:sz="4" w:space="0" w:color="000000"/>
              <w:bottom w:val="double" w:sz="4" w:space="0" w:color="000000"/>
              <w:right w:val="double" w:sz="4" w:space="0" w:color="000000"/>
            </w:tcBorders>
          </w:tcPr>
          <w:p>
            <w:pPr>
              <w:pStyle w:val="Normal"/>
              <w:widowControl w:val="false"/>
              <w:rPr>
                <w:rFonts w:ascii="Times New Roman" w:hAnsi="Times New Roman" w:eastAsia="SimSun"/>
                <w:color w:val="FF6600"/>
                <w:sz w:val="20"/>
                <w:lang w:eastAsia="zh-CN"/>
              </w:rPr>
            </w:pPr>
            <w:r>
              <w:rPr>
                <w:rFonts w:eastAsia="SimSun" w:ascii="Times New Roman" w:hAnsi="Times New Roman"/>
                <w:color w:val="FF6600"/>
                <w:sz w:val="20"/>
                <w:lang w:eastAsia="zh-CN"/>
              </w:rPr>
            </w:r>
          </w:p>
        </w:tc>
        <w:tc>
          <w:tcPr>
            <w:tcW w:w="2510" w:type="dxa"/>
            <w:gridSpan w:val="5"/>
            <w:tcBorders>
              <w:top w:val="dotted"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Total</w:t>
            </w:r>
          </w:p>
        </w:tc>
        <w:tc>
          <w:tcPr>
            <w:tcW w:w="1263" w:type="dxa"/>
            <w:gridSpan w:val="2"/>
            <w:tcBorders>
              <w:top w:val="dotted" w:sz="4" w:space="0" w:color="000000"/>
              <w:left w:val="single" w:sz="4" w:space="0" w:color="000000"/>
              <w:bottom w:val="double" w:sz="4" w:space="0" w:color="000000"/>
              <w:right w:val="single" w:sz="4" w:space="0" w:color="000000"/>
            </w:tcBorders>
            <w:shd w:color="auto" w:fill="B3B3B3" w:val="clear"/>
          </w:tcPr>
          <w:p>
            <w:pPr>
              <w:pStyle w:val="Normal"/>
              <w:widowControl w:val="false"/>
              <w:rPr>
                <w:rFonts w:ascii="Times New Roman" w:hAnsi="Times New Roman"/>
                <w:sz w:val="20"/>
              </w:rPr>
            </w:pPr>
            <w:r>
              <w:rPr>
                <w:rFonts w:ascii="Times New Roman" w:hAnsi="Times New Roman"/>
                <w:sz w:val="20"/>
              </w:rPr>
            </w:r>
          </w:p>
        </w:tc>
        <w:tc>
          <w:tcPr>
            <w:tcW w:w="843" w:type="dxa"/>
            <w:gridSpan w:val="2"/>
            <w:tcBorders>
              <w:top w:val="dotted" w:sz="4" w:space="0" w:color="000000"/>
              <w:left w:val="single" w:sz="4" w:space="0" w:color="000000"/>
              <w:bottom w:val="double" w:sz="4" w:space="0" w:color="000000"/>
              <w:right w:val="double" w:sz="4" w:space="0" w:color="000000"/>
            </w:tcBorders>
          </w:tcPr>
          <w:p>
            <w:pPr>
              <w:pStyle w:val="Normal"/>
              <w:widowControl w:val="false"/>
              <w:rPr>
                <w:rFonts w:ascii="Times New Roman" w:hAnsi="Times New Roman"/>
                <w:sz w:val="20"/>
              </w:rPr>
            </w:pPr>
            <w:r>
              <w:rPr>
                <w:rFonts w:ascii="Times New Roman" w:hAnsi="Times New Roman"/>
                <w:sz w:val="20"/>
              </w:rPr>
            </w:r>
          </w:p>
        </w:tc>
      </w:tr>
    </w:tbl>
    <w:p>
      <w:pPr>
        <w:pStyle w:val="Normal"/>
        <w:rPr>
          <w:vertAlign w:val="superscript"/>
        </w:rPr>
      </w:pPr>
      <w:r>
        <w:rPr>
          <w:vertAlign w:val="superscript"/>
        </w:rPr>
      </w:r>
    </w:p>
    <w:p>
      <w:pPr>
        <w:pStyle w:val="Normal"/>
        <w:rPr>
          <w:vertAlign w:val="superscript"/>
        </w:rPr>
      </w:pPr>
      <w:r>
        <w:rPr>
          <w:vertAlign w:val="superscript"/>
        </w:rPr>
      </w:r>
    </w:p>
    <w:p>
      <w:pPr>
        <w:pStyle w:val="Normal"/>
        <w:rPr/>
      </w:pPr>
      <w:r>
        <w:rPr>
          <w:vertAlign w:val="superscript"/>
        </w:rPr>
        <w:t>1</w:t>
      </w:r>
      <w:r>
        <w:rPr/>
        <w:t xml:space="preserve"> </w:t>
      </w:r>
      <w:r>
        <w:rPr>
          <w:rFonts w:eastAsia="SimSun" w:ascii="Times New Roman" w:hAnsi="Times New Roman"/>
          <w:sz w:val="16"/>
          <w:szCs w:val="16"/>
          <w:lang w:eastAsia="zh-CN"/>
        </w:rPr>
        <w:t xml:space="preserve">IN2P3, Irfu or KEK.   </w:t>
      </w:r>
      <w:r>
        <w:rPr>
          <w:vertAlign w:val="superscript"/>
        </w:rPr>
        <w:t>2</w:t>
      </w:r>
      <w:r>
        <w:rPr/>
        <w:t xml:space="preserve"> </w:t>
      </w:r>
      <w:r>
        <w:rPr>
          <w:rFonts w:eastAsia="SimSun" w:ascii="Times New Roman" w:hAnsi="Times New Roman"/>
          <w:sz w:val="16"/>
          <w:szCs w:val="16"/>
          <w:lang w:eastAsia="zh-CN"/>
        </w:rPr>
        <w:t xml:space="preserve">French Embassy, other CNRS or CEA programs, PICS, European grants….  </w:t>
      </w:r>
      <w:r>
        <w:rPr>
          <w:vertAlign w:val="superscript"/>
        </w:rPr>
        <w:t>3</w:t>
      </w:r>
      <w:r>
        <w:rPr/>
        <w:t xml:space="preserve"> </w:t>
      </w:r>
      <w:r>
        <w:rPr>
          <w:rFonts w:eastAsia="SimSun" w:ascii="Times New Roman" w:hAnsi="Times New Roman"/>
          <w:sz w:val="16"/>
          <w:szCs w:val="16"/>
          <w:lang w:eastAsia="zh-CN"/>
        </w:rPr>
        <w:t>JSPS, RIKEN, Universities …</w:t>
      </w:r>
    </w:p>
    <w:p>
      <w:pPr>
        <w:pStyle w:val="Normal"/>
        <w:rPr>
          <w:rFonts w:ascii="Times New Roman" w:hAnsi="Times New Roman" w:eastAsia="SimSun"/>
          <w:sz w:val="16"/>
          <w:szCs w:val="16"/>
          <w:lang w:eastAsia="zh-CN"/>
        </w:rPr>
      </w:pPr>
      <w:r>
        <w:rPr>
          <w:rFonts w:eastAsia="SimSun" w:ascii="Times New Roman" w:hAnsi="Times New Roman"/>
          <w:sz w:val="16"/>
          <w:szCs w:val="16"/>
          <w:lang w:eastAsia="zh-CN"/>
        </w:rPr>
      </w:r>
    </w:p>
    <w:tbl>
      <w:tblPr>
        <w:tblW w:w="10006" w:type="dxa"/>
        <w:jc w:val="left"/>
        <w:tblInd w:w="0" w:type="dxa"/>
        <w:tblLayout w:type="fixed"/>
        <w:tblCellMar>
          <w:top w:w="0" w:type="dxa"/>
          <w:left w:w="99" w:type="dxa"/>
          <w:bottom w:w="0" w:type="dxa"/>
          <w:right w:w="99" w:type="dxa"/>
        </w:tblCellMar>
        <w:tblLook w:val="0000" w:noHBand="0" w:noVBand="0" w:firstColumn="0" w:lastRow="0" w:lastColumn="0" w:firstRow="0"/>
      </w:tblPr>
      <w:tblGrid>
        <w:gridCol w:w="1515"/>
        <w:gridCol w:w="8490"/>
      </w:tblGrid>
      <w:tr>
        <w:trPr>
          <w:trHeight w:val="8237" w:hRule="atLeast"/>
          <w:cantSplit w:val="true"/>
        </w:trPr>
        <w:tc>
          <w:tcPr>
            <w:tcW w:w="1515"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b/>
                <w:b/>
                <w:sz w:val="20"/>
              </w:rPr>
            </w:pPr>
            <w:r>
              <w:rPr>
                <w:rFonts w:ascii="Times New Roman" w:hAnsi="Times New Roman"/>
                <w:b/>
                <w:sz w:val="20"/>
              </w:rPr>
              <w:t>Summary</w:t>
            </w:r>
          </w:p>
          <w:p>
            <w:pPr>
              <w:pStyle w:val="Normal"/>
              <w:widowControl w:val="false"/>
              <w:jc w:val="center"/>
              <w:rPr>
                <w:rFonts w:ascii="Times New Roman" w:hAnsi="Times New Roman"/>
                <w:b/>
                <w:b/>
                <w:sz w:val="20"/>
              </w:rPr>
            </w:pPr>
            <w:r>
              <w:rPr>
                <w:rFonts w:ascii="Times New Roman" w:hAnsi="Times New Roman"/>
                <w:b/>
                <w:sz w:val="20"/>
              </w:rPr>
              <w:t xml:space="preserve">of </w:t>
            </w:r>
            <w:r>
              <w:rPr>
                <w:rFonts w:eastAsia="SimSun" w:ascii="Times New Roman" w:hAnsi="Times New Roman"/>
                <w:b/>
                <w:sz w:val="20"/>
                <w:lang w:eastAsia="zh-CN"/>
              </w:rPr>
              <w:t>2025</w:t>
            </w:r>
          </w:p>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Activities</w:t>
            </w:r>
          </w:p>
        </w:tc>
        <w:tc>
          <w:tcPr>
            <w:tcW w:w="8490" w:type="dxa"/>
            <w:tcBorders>
              <w:top w:val="doub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t xml:space="preserve">In 2025 we continued our very successful joint France-Japan project with the main goal of improving our knowledge on the upgraded (anti)neutrino beam produced at J-PARC for T2K-II and HyperKamiokande (HK) experiments. After the important J-PARC neutrino beamline upgrade, it  now operates regularly achieving the record beam power of 900 kW. Moreover, operation with a horn current set at 320 kA (instead of 250 kA used previously) is now well established. </w:t>
            </w:r>
            <w:r>
              <w:rPr>
                <w:rFonts w:ascii="Times New Roman" w:hAnsi="Times New Roman"/>
                <w:color w:val="000000"/>
                <w:sz w:val="20"/>
              </w:rPr>
              <w:t>In 2025, the physics data taking using upgraded beamline and neutrino detectors was successfully performed.</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The measurements of hadron yields from the surface of the T2K target performed with the upgraded NA61/SHINE spectrometer at the CERN SPS are crucial for detailed characterization of the J-PARC neutrino beam and already allowed to achieve unprecedented precision on flux uncertainties. New data (180 M triggers compared to 10 M used previously) collected during the 2022 are being thoroughly calibrated and analyzed by a joint team of Japanese and French physicists. In 2025 the first round of calibration was finalized and the first preliminary analysis was performed in order</w:t>
            </w:r>
            <w:r>
              <w:rPr/>
              <w:t xml:space="preserve"> </w:t>
            </w:r>
            <w:r>
              <w:rPr>
                <w:rFonts w:ascii="Times New Roman" w:hAnsi="Times New Roman"/>
                <w:sz w:val="20"/>
              </w:rPr>
              <w:t>to measure the yields of neutral kaons. These results, included in the PhD thesis by Sakiko Nishimori, together with future measurements of charged kaon yields are crucial for further reduction of neutrino flux uncertainties in T2K and HK.</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In 2025 we started the production and deployment of the new time synchronization system being developed for the J-PARC neutrino beam by the joint French-Japanese team. Some stability tests were performed on the J-PARC site using the already installed equipment. A free-running Rubidium atomic clock accompanied by a set of GNSS antenna and receiver installed at J-PARC are being characterized. Additionally, during T2K experiment data taking, we are conducting measurement tests using the new time synchronization system to evaluate its measurement stability and other functions. A correction method was developed to precisely synchronize a time base generated from a free-running atomic clock with the Coordinated Universal Time (UTC) using signals from a GNSS antenna and receiver.</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In 2025, new results on the updated HK sensitivity studies to the neutrino oscillation parameters using the neutrino beam from the J-PARC accelerator were obtained and published. One of the main analyzers was Claire Dalmazzone (LPNHE) who successfully defended her PhD thesis in September, 2025.</w:t>
            </w:r>
          </w:p>
        </w:tc>
      </w:tr>
      <w:tr>
        <w:trPr>
          <w:trHeight w:val="1623" w:hRule="atLeast"/>
          <w:cantSplit w:val="true"/>
        </w:trPr>
        <w:tc>
          <w:tcPr>
            <w:tcW w:w="1515"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b/>
                <w:b/>
                <w:sz w:val="20"/>
              </w:rPr>
            </w:pPr>
            <w:r>
              <w:rPr>
                <w:rFonts w:ascii="Times New Roman" w:hAnsi="Times New Roman"/>
                <w:b/>
                <w:sz w:val="20"/>
              </w:rPr>
              <w:t>Workshop / satellite session at annual workshop</w:t>
            </w:r>
          </w:p>
        </w:tc>
        <w:tc>
          <w:tcPr>
            <w:tcW w:w="8490" w:type="dxa"/>
            <w:tcBorders>
              <w:top w:val="double" w:sz="4" w:space="0" w:color="000000"/>
              <w:left w:val="double" w:sz="4" w:space="0" w:color="000000"/>
              <w:bottom w:val="double" w:sz="4" w:space="0" w:color="000000"/>
              <w:right w:val="single" w:sz="4" w:space="0" w:color="000000"/>
            </w:tcBorders>
          </w:tcPr>
          <w:p>
            <w:pPr>
              <w:pStyle w:val="HTMLPreformatted"/>
              <w:widowControl w:val="false"/>
              <w:rPr>
                <w:rFonts w:ascii="Times New Roman" w:hAnsi="Times New Roman"/>
              </w:rPr>
            </w:pPr>
            <w:r>
              <w:rPr>
                <w:rFonts w:ascii="Times New Roman" w:hAnsi="Times New Roman"/>
              </w:rPr>
            </w:r>
          </w:p>
          <w:p>
            <w:pPr>
              <w:pStyle w:val="HTMLPreformatted"/>
              <w:widowControl w:val="false"/>
              <w:jc w:val="left"/>
              <w:rPr>
                <w:rFonts w:ascii="Times New Roman" w:hAnsi="Times New Roman"/>
              </w:rPr>
            </w:pPr>
            <w:r>
              <w:rPr>
                <w:rFonts w:ascii="Times New Roman" w:hAnsi="Times New Roman"/>
              </w:rPr>
              <w:t xml:space="preserve"> </w:t>
            </w:r>
            <w:r>
              <w:rPr>
                <w:rFonts w:ascii="Times New Roman" w:hAnsi="Times New Roman"/>
                <w:sz w:val="20"/>
              </w:rPr>
              <w:t>The group meets regularly on the occasion of NA61/SHINE, T2K and HK collaboration meetings. We also organize dedicated Zoom meetings in order to discuss the ongoing activities and to define plans for the future. In-person workshops are also being scheduled, if needed.</w:t>
            </w:r>
          </w:p>
        </w:tc>
      </w:tr>
      <w:tr>
        <w:trPr>
          <w:trHeight w:val="1817" w:hRule="atLeast"/>
          <w:cantSplit w:val="true"/>
        </w:trPr>
        <w:tc>
          <w:tcPr>
            <w:tcW w:w="1515"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eastAsia="SimSun"/>
                <w:b/>
                <w:b/>
                <w:sz w:val="20"/>
                <w:lang w:eastAsia="zh-CN"/>
              </w:rPr>
            </w:pPr>
            <w:r>
              <w:rPr>
                <w:rFonts w:eastAsia="SimSun" w:ascii="Times New Roman" w:hAnsi="Times New Roman"/>
                <w:b/>
                <w:sz w:val="20"/>
                <w:lang w:eastAsia="zh-CN"/>
              </w:rPr>
              <w:t xml:space="preserve"> </w:t>
            </w:r>
            <w:r>
              <w:rPr>
                <w:rFonts w:eastAsia="SimSun" w:ascii="Times New Roman" w:hAnsi="Times New Roman"/>
                <w:b/>
                <w:sz w:val="20"/>
                <w:lang w:eastAsia="zh-CN"/>
              </w:rPr>
              <w:t>Articles, conference talks &amp; posters related to the TYL project</w:t>
            </w:r>
          </w:p>
        </w:tc>
        <w:tc>
          <w:tcPr>
            <w:tcW w:w="8490" w:type="dxa"/>
            <w:tcBorders>
              <w:top w:val="double" w:sz="4" w:space="0" w:color="000000"/>
              <w:left w:val="double" w:sz="4" w:space="0" w:color="000000"/>
              <w:bottom w:val="double" w:sz="4" w:space="0" w:color="000000"/>
              <w:right w:val="single" w:sz="4" w:space="0" w:color="000000"/>
            </w:tcBorders>
          </w:tcPr>
          <w:p>
            <w:pPr>
              <w:pStyle w:val="TextBody"/>
              <w:widowControl w:val="false"/>
              <w:rPr/>
            </w:pPr>
            <w:hyperlink r:id="rId2">
              <w:r>
                <w:rPr>
                  <w:rStyle w:val="InternetLink"/>
                  <w:rFonts w:ascii="Ubuntu Condensed" w:hAnsi="Ubuntu Condensed"/>
                  <w:sz w:val="16"/>
                  <w:szCs w:val="16"/>
                </w:rPr>
                <w:t>T2K</w:t>
              </w:r>
            </w:hyperlink>
            <w:r>
              <w:rPr>
                <w:rFonts w:ascii="Ubuntu Condensed" w:hAnsi="Ubuntu Condensed"/>
                <w:sz w:val="16"/>
                <w:szCs w:val="16"/>
              </w:rPr>
              <w:t xml:space="preserve"> and </w:t>
            </w:r>
            <w:hyperlink r:id="rId3">
              <w:r>
                <w:rPr>
                  <w:rStyle w:val="InternetLink"/>
                  <w:rFonts w:ascii="Ubuntu Condensed" w:hAnsi="Ubuntu Condensed"/>
                  <w:sz w:val="16"/>
                  <w:szCs w:val="16"/>
                </w:rPr>
                <w:t>NOvA</w:t>
              </w:r>
            </w:hyperlink>
            <w:r>
              <w:rPr>
                <w:rFonts w:ascii="Ubuntu Condensed" w:hAnsi="Ubuntu Condensed"/>
                <w:sz w:val="16"/>
                <w:szCs w:val="16"/>
              </w:rPr>
              <w:t xml:space="preserve"> Collaborations, Joint neutrino oscillation analysis from the T2K and NOvA experiments, </w:t>
            </w:r>
            <w:r>
              <w:rPr>
                <w:rFonts w:ascii="Ubuntu Condensed" w:hAnsi="Ubuntu Condensed"/>
                <w:i/>
                <w:sz w:val="16"/>
                <w:szCs w:val="16"/>
              </w:rPr>
              <w:t>Nature</w:t>
            </w:r>
            <w:r>
              <w:rPr>
                <w:rFonts w:ascii="Ubuntu Condensed" w:hAnsi="Ubuntu Condensed"/>
                <w:sz w:val="16"/>
                <w:szCs w:val="16"/>
              </w:rPr>
              <w:t xml:space="preserve">  646 (2025) 8086, 818-824</w:t>
            </w:r>
            <w:r>
              <w:rPr>
                <w:rFonts w:ascii="Ubuntu Condensed" w:hAnsi="Ubuntu Condensed"/>
                <w:b w:val="false"/>
                <w:bCs w:val="false"/>
                <w:sz w:val="16"/>
                <w:szCs w:val="16"/>
              </w:rPr>
              <w:t xml:space="preserve">K. Abe et al., </w:t>
            </w:r>
            <w:hyperlink r:id="rId4">
              <w:r>
                <w:rPr>
                  <w:rStyle w:val="InternetLink"/>
                  <w:rFonts w:ascii="Ubuntu Condensed" w:hAnsi="Ubuntu Condensed"/>
                  <w:b w:val="false"/>
                  <w:bCs w:val="false"/>
                  <w:sz w:val="16"/>
                  <w:szCs w:val="16"/>
                </w:rPr>
                <w:t>T2K</w:t>
              </w:r>
            </w:hyperlink>
            <w:r>
              <w:rPr>
                <w:rFonts w:ascii="Ubuntu Condensed" w:hAnsi="Ubuntu Condensed"/>
                <w:b w:val="false"/>
                <w:bCs w:val="false"/>
                <w:sz w:val="16"/>
                <w:szCs w:val="16"/>
              </w:rPr>
              <w:t xml:space="preserve"> Collaboration, Results from the T2K Experiment on Neutrino Mixing Including a New Far Detector μ-like Sample, </w:t>
            </w:r>
            <w:r>
              <w:rPr>
                <w:rFonts w:ascii="Ubuntu Condensed" w:hAnsi="Ubuntu Condensed"/>
                <w:b w:val="false"/>
                <w:bCs w:val="false"/>
                <w:i/>
                <w:sz w:val="16"/>
                <w:szCs w:val="16"/>
              </w:rPr>
              <w:t>Phys.Rev.Lett.</w:t>
            </w:r>
            <w:r>
              <w:rPr>
                <w:rFonts w:ascii="Ubuntu Condensed" w:hAnsi="Ubuntu Condensed"/>
                <w:b w:val="false"/>
                <w:bCs w:val="false"/>
                <w:sz w:val="16"/>
                <w:szCs w:val="16"/>
              </w:rPr>
              <w:t xml:space="preserve"> 135 (2025) 26, 261801</w:t>
            </w:r>
          </w:p>
          <w:p>
            <w:pPr>
              <w:pStyle w:val="Normal"/>
              <w:widowControl w:val="false"/>
              <w:rPr>
                <w:rFonts w:ascii="Ubuntu Condensed" w:hAnsi="Ubuntu Condensed"/>
                <w:sz w:val="16"/>
                <w:szCs w:val="16"/>
              </w:rPr>
            </w:pPr>
            <w:hyperlink r:id="rId5">
              <w:r>
                <w:rPr>
                  <w:rStyle w:val="InternetLink"/>
                  <w:rFonts w:ascii="Ubuntu Condensed" w:hAnsi="Ubuntu Condensed"/>
                  <w:color w:val="111111"/>
                  <w:sz w:val="16"/>
                  <w:szCs w:val="16"/>
                  <w:u w:val="none"/>
                </w:rPr>
                <w:t>H. Adhikary</w:t>
              </w:r>
            </w:hyperlink>
            <w:r>
              <w:rPr>
                <w:rFonts w:ascii="Ubuntu Condensed" w:hAnsi="Ubuntu Condensed"/>
                <w:color w:val="111111"/>
                <w:sz w:val="16"/>
                <w:szCs w:val="16"/>
                <w:u w:val="none"/>
              </w:rPr>
              <w:t xml:space="preserve"> et al., NA61/SHINE Collaboration, </w:t>
            </w:r>
            <w:hyperlink r:id="rId6">
              <w:r>
                <w:rPr>
                  <w:rStyle w:val="InternetLink"/>
                  <w:rFonts w:ascii="Ubuntu Condensed" w:hAnsi="Ubuntu Condensed"/>
                  <w:color w:val="111111"/>
                  <w:sz w:val="16"/>
                  <w:szCs w:val="16"/>
                  <w:u w:val="none"/>
                </w:rPr>
                <w:t>Measurements of hadron production in proton-carbon interactions</w:t>
              </w:r>
            </w:hyperlink>
            <w:r>
              <w:rPr>
                <w:rFonts w:ascii="Ubuntu Condensed" w:hAnsi="Ubuntu Condensed"/>
                <w:color w:val="111111"/>
                <w:sz w:val="16"/>
                <w:szCs w:val="16"/>
                <w:u w:val="none"/>
              </w:rPr>
              <w:t xml:space="preserve">, </w:t>
            </w:r>
            <w:r>
              <w:rPr>
                <w:rFonts w:ascii="Ubuntu Condensed" w:hAnsi="Ubuntu Condensed"/>
                <w:i/>
                <w:color w:val="111111"/>
                <w:sz w:val="16"/>
                <w:szCs w:val="16"/>
                <w:u w:val="none"/>
              </w:rPr>
              <w:t>Phys.Rev.D</w:t>
            </w:r>
            <w:r>
              <w:rPr>
                <w:rFonts w:ascii="Ubuntu Condensed" w:hAnsi="Ubuntu Condensed"/>
                <w:color w:val="111111"/>
                <w:sz w:val="16"/>
                <w:szCs w:val="16"/>
                <w:u w:val="none"/>
              </w:rPr>
              <w:t xml:space="preserve"> 112 (2025) 1, 012011</w:t>
            </w:r>
          </w:p>
          <w:p>
            <w:pPr>
              <w:pStyle w:val="Normal"/>
              <w:widowControl w:val="false"/>
              <w:rPr>
                <w:rFonts w:ascii="Ubuntu Condensed" w:hAnsi="Ubuntu Condensed"/>
                <w:sz w:val="16"/>
                <w:szCs w:val="16"/>
              </w:rPr>
            </w:pPr>
            <w:r>
              <w:rPr>
                <w:rFonts w:ascii="Ubuntu Condensed" w:hAnsi="Ubuntu Condensed"/>
                <w:sz w:val="16"/>
                <w:szCs w:val="16"/>
              </w:rPr>
              <w:t xml:space="preserve">Claire Dalmazzone et al., Precise synchronization of a free-running Rubidium atomic clock with GPS Time for applications in experimental particle physics, </w:t>
            </w:r>
            <w:r>
              <w:rPr>
                <w:rFonts w:ascii="Ubuntu Condensed" w:hAnsi="Ubuntu Condensed"/>
                <w:i/>
                <w:sz w:val="16"/>
                <w:szCs w:val="16"/>
              </w:rPr>
              <w:t>Nucl.Instrum.Meth.A</w:t>
            </w:r>
            <w:r>
              <w:rPr>
                <w:rFonts w:ascii="Ubuntu Condensed" w:hAnsi="Ubuntu Condensed"/>
                <w:sz w:val="16"/>
                <w:szCs w:val="16"/>
              </w:rPr>
              <w:t xml:space="preserve"> 1075 (2025) 170358</w:t>
            </w:r>
          </w:p>
          <w:p>
            <w:pPr>
              <w:pStyle w:val="Normal"/>
              <w:widowControl w:val="false"/>
              <w:rPr/>
            </w:pPr>
            <w:r>
              <w:rPr>
                <w:rFonts w:ascii="Ubuntu Condensed" w:hAnsi="Ubuntu Condensed"/>
                <w:sz w:val="16"/>
                <w:szCs w:val="16"/>
              </w:rPr>
              <w:t xml:space="preserve">Claire Dalmazzone et al., Real time synchronisation of a free-running atomic clock time base with UTC using GNSS signals for application in experimental physics, e-Print: </w:t>
            </w:r>
            <w:hyperlink r:id="rId7" w:tgtFrame="_blank">
              <w:r>
                <w:rPr>
                  <w:rStyle w:val="InternetLink"/>
                  <w:rFonts w:ascii="Ubuntu Condensed" w:hAnsi="Ubuntu Condensed"/>
                  <w:sz w:val="16"/>
                  <w:szCs w:val="16"/>
                </w:rPr>
                <w:t>2511.05525</w:t>
              </w:r>
            </w:hyperlink>
            <w:r>
              <w:rPr>
                <w:rFonts w:ascii="Ubuntu Condensed" w:hAnsi="Ubuntu Condensed"/>
                <w:sz w:val="16"/>
                <w:szCs w:val="16"/>
              </w:rPr>
              <w:t xml:space="preserve"> [physics.atom-ph], submitted to NIM A</w:t>
            </w:r>
          </w:p>
          <w:p>
            <w:pPr>
              <w:pStyle w:val="Heading2"/>
              <w:widowControl w:val="false"/>
              <w:rPr/>
            </w:pPr>
            <w:r>
              <w:rPr>
                <w:rFonts w:ascii="Ubuntu Condensed" w:hAnsi="Ubuntu Condensed"/>
                <w:b w:val="false"/>
                <w:bCs w:val="false"/>
                <w:sz w:val="16"/>
                <w:szCs w:val="16"/>
              </w:rPr>
              <w:t xml:space="preserve">Abe et al., </w:t>
            </w:r>
            <w:r>
              <w:rPr>
                <w:rFonts w:ascii="Ubuntu Condensed" w:hAnsi="Ubuntu Condensed"/>
                <w:b w:val="false"/>
                <w:bCs w:val="false"/>
                <w:sz w:val="16"/>
                <w:szCs w:val="16"/>
              </w:rPr>
              <w:t xml:space="preserve">Hyper-Kamiokande </w:t>
            </w:r>
            <w:r>
              <w:rPr>
                <w:rFonts w:ascii="Ubuntu Condensed" w:hAnsi="Ubuntu Condensed"/>
                <w:b w:val="false"/>
                <w:bCs w:val="false"/>
                <w:sz w:val="16"/>
                <w:szCs w:val="16"/>
              </w:rPr>
              <w:t>Collaboration, Sensitivity of the Hyper-Kamiokande experiment to neutrino oscillation parameters using accelerat</w:t>
            </w:r>
            <w:r>
              <w:rPr>
                <w:rFonts w:ascii="Ubuntu Condensed" w:hAnsi="Ubuntu Condensed"/>
                <w:b w:val="false"/>
                <w:bCs w:val="false"/>
                <w:sz w:val="16"/>
                <w:szCs w:val="16"/>
              </w:rPr>
              <w:t>or</w:t>
            </w:r>
            <w:r>
              <w:rPr>
                <w:rFonts w:ascii="Ubuntu Condensed" w:hAnsi="Ubuntu Condensed"/>
                <w:b w:val="false"/>
                <w:bCs w:val="false"/>
                <w:sz w:val="16"/>
                <w:szCs w:val="16"/>
              </w:rPr>
              <w:t xml:space="preserve"> neutrinos, e-Print: </w:t>
            </w:r>
            <w:hyperlink r:id="rId8" w:tgtFrame="_blank">
              <w:r>
                <w:rPr>
                  <w:rStyle w:val="InternetLink"/>
                  <w:rFonts w:ascii="Ubuntu Condensed" w:hAnsi="Ubuntu Condensed"/>
                  <w:b w:val="false"/>
                  <w:bCs w:val="false"/>
                  <w:sz w:val="16"/>
                  <w:szCs w:val="16"/>
                </w:rPr>
                <w:t>2505.15019</w:t>
              </w:r>
            </w:hyperlink>
            <w:r>
              <w:rPr>
                <w:rFonts w:ascii="Ubuntu Condensed" w:hAnsi="Ubuntu Condensed"/>
                <w:b w:val="false"/>
                <w:bCs w:val="false"/>
                <w:sz w:val="16"/>
                <w:szCs w:val="16"/>
              </w:rPr>
              <w:t xml:space="preserve"> [hep-ex], </w:t>
            </w:r>
            <w:r>
              <w:rPr>
                <w:rFonts w:ascii="Ubuntu Condensed" w:hAnsi="Ubuntu Condensed"/>
                <w:b w:val="false"/>
                <w:bCs w:val="false"/>
                <w:sz w:val="16"/>
                <w:szCs w:val="16"/>
              </w:rPr>
              <w:t>accepted for publication in EPJ C</w:t>
            </w:r>
          </w:p>
          <w:p>
            <w:pPr>
              <w:pStyle w:val="Normal"/>
              <w:widowControl w:val="false"/>
              <w:rPr>
                <w:rFonts w:ascii="Times New Roman" w:hAnsi="Times New Roman"/>
                <w:bCs/>
                <w:sz w:val="20"/>
              </w:rPr>
            </w:pPr>
            <w:r>
              <w:rPr>
                <w:rFonts w:ascii="Times New Roman" w:hAnsi="Times New Roman"/>
                <w:bCs/>
                <w:sz w:val="20"/>
              </w:rPr>
            </w:r>
          </w:p>
        </w:tc>
      </w:tr>
      <w:tr>
        <w:trPr>
          <w:trHeight w:val="1310" w:hRule="atLeast"/>
          <w:cantSplit w:val="true"/>
        </w:trPr>
        <w:tc>
          <w:tcPr>
            <w:tcW w:w="1515" w:type="dxa"/>
            <w:tcBorders>
              <w:top w:val="double" w:sz="4" w:space="0" w:color="000000"/>
              <w:left w:val="single" w:sz="4" w:space="0" w:color="000000"/>
              <w:bottom w:val="double" w:sz="4" w:space="0" w:color="000000"/>
              <w:right w:val="double" w:sz="4" w:space="0" w:color="000000"/>
            </w:tcBorders>
            <w:vAlign w:val="center"/>
          </w:tcPr>
          <w:p>
            <w:pPr>
              <w:pStyle w:val="Normal"/>
              <w:widowControl w:val="false"/>
              <w:jc w:val="center"/>
              <w:rPr>
                <w:rFonts w:ascii="Times New Roman" w:hAnsi="Times New Roman"/>
                <w:b/>
                <w:b/>
                <w:sz w:val="20"/>
              </w:rPr>
            </w:pPr>
            <w:r>
              <w:rPr>
                <w:rFonts w:ascii="Times New Roman" w:hAnsi="Times New Roman"/>
                <w:b/>
                <w:sz w:val="20"/>
              </w:rPr>
              <w:t>Jointly Supervised Students</w:t>
            </w:r>
          </w:p>
        </w:tc>
        <w:tc>
          <w:tcPr>
            <w:tcW w:w="8490" w:type="dxa"/>
            <w:tcBorders>
              <w:top w:val="double" w:sz="4" w:space="0" w:color="000000"/>
              <w:left w:val="double" w:sz="4" w:space="0" w:color="000000"/>
              <w:bottom w:val="double" w:sz="4" w:space="0" w:color="000000"/>
              <w:right w:val="single" w:sz="4" w:space="0" w:color="000000"/>
            </w:tcBorders>
          </w:tcPr>
          <w:p>
            <w:pPr>
              <w:pStyle w:val="Normal"/>
              <w:widowControl w:val="false"/>
              <w:rPr>
                <w:rFonts w:ascii="Times New Roman" w:hAnsi="Times New Roman"/>
                <w:sz w:val="20"/>
              </w:rPr>
            </w:pPr>
            <w:r>
              <w:rPr>
                <w:rFonts w:ascii="Times New Roman" w:hAnsi="Times New Roman"/>
                <w:sz w:val="20"/>
              </w:rPr>
            </w:r>
          </w:p>
          <w:p>
            <w:pPr>
              <w:pStyle w:val="Normal"/>
              <w:widowControl w:val="false"/>
              <w:jc w:val="left"/>
              <w:rPr>
                <w:rFonts w:ascii="Times New Roman" w:hAnsi="Times New Roman"/>
                <w:sz w:val="20"/>
              </w:rPr>
            </w:pPr>
            <w:r>
              <w:rPr/>
            </w:r>
          </w:p>
        </w:tc>
      </w:tr>
    </w:tbl>
    <w:p>
      <w:pPr>
        <w:pStyle w:val="Normal"/>
        <w:tabs>
          <w:tab w:val="clear" w:pos="840"/>
          <w:tab w:val="left" w:pos="2629" w:leader="none"/>
        </w:tabs>
        <w:rPr/>
      </w:pPr>
      <w:r>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361" w:right="964" w:gutter="0" w:header="851" w:top="1531" w:footer="992" w:bottom="1077"/>
      <w:pgNumType w:fmt="decimal"/>
      <w:formProt w:val="false"/>
      <w:textDirection w:val="lrTb"/>
      <w:docGrid w:type="lines" w:linePitch="30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Times New Roman">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Unicode MS">
    <w:charset w:val="01"/>
    <w:family w:val="roman"/>
    <w:pitch w:val="variable"/>
  </w:font>
  <w:font w:name="Ubuntu Condensed">
    <w:charset w:val="01"/>
    <w:family w:val="roman"/>
    <w:pitch w:val="variable"/>
  </w:font>
  <w:font w:name="Ubuntu Condensed">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b/>
        <w:b/>
        <w:sz w:val="36"/>
        <w:szCs w:val="36"/>
      </w:rPr>
    </w:pPr>
    <w:r>
      <w:rPr>
        <w:rFonts w:ascii="Times New Roman" w:hAnsi="Times New Roman"/>
        <w:b/>
        <w:sz w:val="36"/>
        <w:szCs w:val="36"/>
      </w:rPr>
      <w:t>FJPPL R</w:t>
    </w:r>
    <w:r>
      <w:rPr>
        <w:rFonts w:eastAsia="SimSun" w:ascii="Times New Roman" w:hAnsi="Times New Roman"/>
        <w:b/>
        <w:sz w:val="36"/>
        <w:szCs w:val="36"/>
        <w:lang w:eastAsia="zh-CN"/>
      </w:rPr>
      <w:t>eport</w:t>
    </w:r>
    <w:r>
      <w:rPr>
        <w:rFonts w:ascii="Times New Roman" w:hAnsi="Times New Roman"/>
        <w:b/>
        <w:sz w:val="36"/>
        <w:szCs w:val="36"/>
      </w:rPr>
      <w:t xml:space="preserve"> 2025</w:t>
    </w:r>
  </w:p>
  <w:p>
    <w:pPr>
      <w:pStyle w:val="Header"/>
      <w:jc w:val="center"/>
      <w:rPr>
        <w:rFonts w:ascii="Times New Roman" w:hAnsi="Times New Roman"/>
        <w:i/>
        <w:i/>
        <w:szCs w:val="36"/>
      </w:rPr>
    </w:pPr>
    <w:r>
      <w:rPr>
        <w:rFonts w:ascii="Times New Roman" w:hAnsi="Times New Roman"/>
        <w:i/>
        <w:szCs w:val="36"/>
      </w:rPr>
      <w:t>Fiscal year April 1</w:t>
    </w:r>
    <w:r>
      <w:rPr>
        <w:rFonts w:ascii="Times New Roman" w:hAnsi="Times New Roman"/>
        <w:i/>
        <w:szCs w:val="36"/>
        <w:vertAlign w:val="superscript"/>
      </w:rPr>
      <w:t>st</w:t>
    </w:r>
    <w:r>
      <w:rPr>
        <w:rFonts w:ascii="Times New Roman" w:hAnsi="Times New Roman"/>
        <w:i/>
        <w:szCs w:val="36"/>
      </w:rPr>
      <w:t xml:space="preserve"> 2025 – March 31</w:t>
    </w:r>
    <w:r>
      <w:rPr>
        <w:rFonts w:ascii="Times New Roman" w:hAnsi="Times New Roman"/>
        <w:i/>
        <w:szCs w:val="36"/>
        <w:vertAlign w:val="superscript"/>
      </w:rPr>
      <w:t>th</w:t>
    </w:r>
    <w:r>
      <w:rPr>
        <w:rFonts w:ascii="Times New Roman" w:hAnsi="Times New Roman"/>
        <w:i/>
        <w:szCs w:val="36"/>
      </w:rPr>
      <w:t xml:space="preserve"> 2026</w:t>
    </w:r>
  </w:p>
  <w:p>
    <w:pPr>
      <w:pStyle w:val="Header"/>
      <w:jc w:val="center"/>
      <w:rPr>
        <w:rFonts w:ascii="Times New Roman" w:hAnsi="Times New Roman"/>
        <w:b/>
        <w:b/>
        <w:i/>
        <w:i/>
        <w:color w:val="FF6600"/>
        <w:sz w:val="16"/>
        <w:szCs w:val="16"/>
      </w:rPr>
    </w:pPr>
    <w:r>
      <w:rPr>
        <w:rFonts w:ascii="Times New Roman" w:hAnsi="Times New Roman"/>
        <w:b/>
        <w:i/>
        <w:color w:val="FF6600"/>
        <w:sz w:val="16"/>
        <w:szCs w:val="16"/>
      </w:rPr>
      <w:t>Please replace the red examples by the appropriate data in black</w:t>
    </w:r>
  </w:p>
  <w:p>
    <w:pPr>
      <w:pStyle w:val="Header"/>
      <w:tabs>
        <w:tab w:val="left" w:pos="3516" w:leader="none"/>
        <w:tab w:val="center" w:pos="4252" w:leader="none"/>
        <w:tab w:val="right" w:pos="8504" w:leader="none"/>
      </w:tabs>
      <w:jc w:val="left"/>
      <w:rPr>
        <w:rFonts w:ascii="Times New Roman" w:hAnsi="Times New Roman"/>
        <w:b/>
        <w:b/>
        <w:i/>
        <w:i/>
        <w:color w:val="FF6600"/>
        <w:sz w:val="16"/>
        <w:szCs w:val="16"/>
      </w:rPr>
    </w:pPr>
    <w:r>
      <w:rPr>
        <w:rFonts w:ascii="Times New Roman" w:hAnsi="Times New Roman"/>
        <w:b/>
        <w:i/>
        <w:color w:val="FF6600"/>
        <w:sz w:val="16"/>
        <w:szCs w:val="16"/>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b/>
        <w:b/>
        <w:sz w:val="36"/>
        <w:szCs w:val="36"/>
      </w:rPr>
    </w:pPr>
    <w:r>
      <w:rPr>
        <w:rFonts w:ascii="Times New Roman" w:hAnsi="Times New Roman"/>
        <w:b/>
        <w:sz w:val="36"/>
        <w:szCs w:val="36"/>
      </w:rPr>
      <w:t>FJPPL R</w:t>
    </w:r>
    <w:r>
      <w:rPr>
        <w:rFonts w:eastAsia="SimSun" w:ascii="Times New Roman" w:hAnsi="Times New Roman"/>
        <w:b/>
        <w:sz w:val="36"/>
        <w:szCs w:val="36"/>
        <w:lang w:eastAsia="zh-CN"/>
      </w:rPr>
      <w:t>eport</w:t>
    </w:r>
    <w:r>
      <w:rPr>
        <w:rFonts w:ascii="Times New Roman" w:hAnsi="Times New Roman"/>
        <w:b/>
        <w:sz w:val="36"/>
        <w:szCs w:val="36"/>
      </w:rPr>
      <w:t xml:space="preserve"> 2025</w:t>
    </w:r>
  </w:p>
  <w:p>
    <w:pPr>
      <w:pStyle w:val="Header"/>
      <w:jc w:val="center"/>
      <w:rPr>
        <w:rFonts w:ascii="Times New Roman" w:hAnsi="Times New Roman"/>
        <w:i/>
        <w:i/>
        <w:szCs w:val="36"/>
      </w:rPr>
    </w:pPr>
    <w:r>
      <w:rPr>
        <w:rFonts w:ascii="Times New Roman" w:hAnsi="Times New Roman"/>
        <w:i/>
        <w:szCs w:val="36"/>
      </w:rPr>
      <w:t>Fiscal year April 1</w:t>
    </w:r>
    <w:r>
      <w:rPr>
        <w:rFonts w:ascii="Times New Roman" w:hAnsi="Times New Roman"/>
        <w:i/>
        <w:szCs w:val="36"/>
        <w:vertAlign w:val="superscript"/>
      </w:rPr>
      <w:t>st</w:t>
    </w:r>
    <w:r>
      <w:rPr>
        <w:rFonts w:ascii="Times New Roman" w:hAnsi="Times New Roman"/>
        <w:i/>
        <w:szCs w:val="36"/>
      </w:rPr>
      <w:t xml:space="preserve"> 2025 – March 31</w:t>
    </w:r>
    <w:r>
      <w:rPr>
        <w:rFonts w:ascii="Times New Roman" w:hAnsi="Times New Roman"/>
        <w:i/>
        <w:szCs w:val="36"/>
        <w:vertAlign w:val="superscript"/>
      </w:rPr>
      <w:t>th</w:t>
    </w:r>
    <w:r>
      <w:rPr>
        <w:rFonts w:ascii="Times New Roman" w:hAnsi="Times New Roman"/>
        <w:i/>
        <w:szCs w:val="36"/>
      </w:rPr>
      <w:t xml:space="preserve"> 2026</w:t>
    </w:r>
  </w:p>
  <w:p>
    <w:pPr>
      <w:pStyle w:val="Header"/>
      <w:jc w:val="center"/>
      <w:rPr>
        <w:rFonts w:ascii="Times New Roman" w:hAnsi="Times New Roman"/>
        <w:b/>
        <w:b/>
        <w:i/>
        <w:i/>
        <w:color w:val="FF6600"/>
        <w:sz w:val="16"/>
        <w:szCs w:val="16"/>
      </w:rPr>
    </w:pPr>
    <w:r>
      <w:rPr>
        <w:rFonts w:ascii="Times New Roman" w:hAnsi="Times New Roman"/>
        <w:b/>
        <w:i/>
        <w:color w:val="FF6600"/>
        <w:sz w:val="16"/>
        <w:szCs w:val="16"/>
      </w:rPr>
      <w:t>Please replace the red examples by the appropriate data in black</w:t>
    </w:r>
  </w:p>
  <w:p>
    <w:pPr>
      <w:pStyle w:val="Header"/>
      <w:tabs>
        <w:tab w:val="left" w:pos="3516" w:leader="none"/>
        <w:tab w:val="center" w:pos="4252" w:leader="none"/>
        <w:tab w:val="right" w:pos="8504" w:leader="none"/>
      </w:tabs>
      <w:jc w:val="left"/>
      <w:rPr>
        <w:rFonts w:ascii="Times New Roman" w:hAnsi="Times New Roman"/>
        <w:b/>
        <w:b/>
        <w:i/>
        <w:i/>
        <w:color w:val="FF6600"/>
        <w:sz w:val="16"/>
        <w:szCs w:val="16"/>
      </w:rPr>
    </w:pPr>
    <w:r>
      <w:rPr>
        <w:rFonts w:ascii="Times New Roman" w:hAnsi="Times New Roman"/>
        <w:b/>
        <w:i/>
        <w:color w:val="FF6600"/>
        <w:sz w:val="16"/>
        <w:szCs w:val="16"/>
      </w:rPr>
      <w:tab/>
    </w:r>
  </w:p>
</w:hdr>
</file>

<file path=word/settings.xml><?xml version="1.0" encoding="utf-8"?>
<w:settings xmlns:w="http://schemas.openxmlformats.org/wordprocessingml/2006/main">
  <w:zoom w:percent="187"/>
  <w:embedSystemFonts/>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MS Mincho" w:cs="Times New Roman"/>
        <w:lang w:val="en-US"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MS Mincho" w:cs="Times New Roman"/>
      <w:color w:val="auto"/>
      <w:kern w:val="2"/>
      <w:sz w:val="21"/>
      <w:szCs w:val="20"/>
      <w:lang w:val="en-US" w:eastAsia="ja-JP" w:bidi="ar-SA"/>
    </w:rPr>
  </w:style>
  <w:style w:type="paragraph" w:styleId="Heading1">
    <w:name w:val="Heading 1"/>
    <w:basedOn w:val="Normal"/>
    <w:next w:val="Normal"/>
    <w:qFormat/>
    <w:pPr>
      <w:keepNext w:val="true"/>
      <w:outlineLvl w:val="0"/>
    </w:pPr>
    <w:rPr>
      <w:u w:val="single"/>
    </w:rPr>
  </w:style>
  <w:style w:type="paragraph" w:styleId="Heading2">
    <w:name w:val="Heading 2"/>
    <w:basedOn w:val="Normal"/>
    <w:next w:val="Normal"/>
    <w:qFormat/>
    <w:pPr>
      <w:keepNext w:val="true"/>
      <w:outlineLvl w:val="1"/>
    </w:pPr>
    <w:rPr>
      <w:rFonts w:ascii="Times New Roman" w:hAnsi="Times New Roman"/>
      <w:b/>
      <w:sz w:val="24"/>
    </w:rPr>
  </w:style>
  <w:style w:type="paragraph" w:styleId="Heading3">
    <w:name w:val="Heading 3"/>
    <w:basedOn w:val="Normal"/>
    <w:next w:val="Normal"/>
    <w:qFormat/>
    <w:pPr>
      <w:keepNext w:val="true"/>
      <w:outlineLvl w:val="2"/>
    </w:pPr>
    <w:rPr>
      <w:rFonts w:ascii="Times New Roman" w:hAnsi="Times New Roman"/>
      <w:b/>
    </w:rPr>
  </w:style>
  <w:style w:type="paragraph" w:styleId="Heading4">
    <w:name w:val="Heading 4"/>
    <w:basedOn w:val="Normal"/>
    <w:next w:val="Normal"/>
    <w:qFormat/>
    <w:pPr>
      <w:keepNext w:val="true"/>
      <w:jc w:val="center"/>
      <w:outlineLvl w:val="3"/>
    </w:pPr>
    <w:rPr>
      <w:rFonts w:ascii="Times New Roman" w:hAnsi="Times New Roman"/>
      <w:b/>
      <w:sz w:val="16"/>
    </w:rPr>
  </w:style>
  <w:style w:type="paragraph" w:styleId="Heading5">
    <w:name w:val="Heading 5"/>
    <w:basedOn w:val="Normal"/>
    <w:next w:val="Normal"/>
    <w:qFormat/>
    <w:pPr>
      <w:keepNext w:val="true"/>
      <w:jc w:val="center"/>
      <w:outlineLvl w:val="4"/>
    </w:pPr>
    <w:rPr>
      <w:rFonts w:ascii="Times New Roman" w:hAnsi="Times New Roman"/>
      <w:b/>
      <w:sz w:val="20"/>
    </w:rPr>
  </w:style>
  <w:style w:type="paragraph" w:styleId="Heading6">
    <w:name w:val="Heading 6"/>
    <w:basedOn w:val="Normal"/>
    <w:next w:val="Normal"/>
    <w:qFormat/>
    <w:pPr>
      <w:keepNext w:val="true"/>
      <w:outlineLvl w:val="5"/>
    </w:pPr>
    <w:rPr>
      <w:rFonts w:ascii="Times New Roman" w:hAnsi="Times New Roman"/>
      <w:sz w:val="20"/>
      <w:u w:val="single"/>
    </w:rPr>
  </w:style>
  <w:style w:type="paragraph" w:styleId="Heading7">
    <w:name w:val="Heading 7"/>
    <w:basedOn w:val="Normal"/>
    <w:next w:val="Normal"/>
    <w:qFormat/>
    <w:pPr>
      <w:keepNext w:val="true"/>
      <w:jc w:val="center"/>
      <w:outlineLvl w:val="6"/>
    </w:pPr>
    <w:rPr>
      <w:rFonts w:ascii="Times New Roman" w:hAnsi="Times New Roman"/>
      <w:b/>
      <w:sz w:val="14"/>
    </w:rPr>
  </w:style>
  <w:style w:type="character" w:styleId="DefaultParagraphFont" w:default="1">
    <w:name w:val="Default Paragraph Font"/>
    <w:uiPriority w:val="1"/>
    <w:semiHidden/>
    <w:unhideWhenUsed/>
    <w:qFormat/>
    <w:rPr/>
  </w:style>
  <w:style w:type="character" w:styleId="FootnoteTextChar" w:customStyle="1">
    <w:name w:val="Footnote Text Char"/>
    <w:link w:val="Footnote"/>
    <w:qFormat/>
    <w:rsid w:val="000f5d3a"/>
    <w:rPr>
      <w:rFonts w:eastAsia="MS Mincho"/>
      <w:kern w:val="2"/>
      <w:lang w:val="en-US" w:eastAsia="ja-JP"/>
    </w:rPr>
  </w:style>
  <w:style w:type="character" w:styleId="FootnoteCharacters">
    <w:name w:val="Footnote Characters"/>
    <w:qFormat/>
    <w:rsid w:val="000f5d3a"/>
    <w:rPr>
      <w:vertAlign w:val="superscript"/>
    </w:rPr>
  </w:style>
  <w:style w:type="character" w:styleId="FootnoteAnchor">
    <w:name w:val="Footnote Anchor"/>
    <w:rPr>
      <w:vertAlign w:val="superscript"/>
    </w:rPr>
  </w:style>
  <w:style w:type="character" w:styleId="HTMLPreformattedChar" w:customStyle="1">
    <w:name w:val="HTML Preformatted Char"/>
    <w:basedOn w:val="DefaultParagraphFont"/>
    <w:link w:val="HTMLPreformatted"/>
    <w:uiPriority w:val="99"/>
    <w:semiHidden/>
    <w:qFormat/>
    <w:rsid w:val="006f7d57"/>
    <w:rPr>
      <w:rFonts w:ascii="Courier New" w:hAnsi="Courier New" w:eastAsia="Times New Roman" w:cs="Courier New"/>
      <w:lang w:eastAsia="ja-JP"/>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widowControl/>
      <w:spacing w:before="240" w:after="0"/>
      <w:jc w:val="left"/>
    </w:pPr>
    <w:rPr>
      <w:rFonts w:ascii="Arial Unicode MS" w:hAnsi="Arial Unicode MS" w:eastAsia="Arial Unicode MS"/>
      <w:kern w:val="0"/>
      <w:sz w:val="24"/>
    </w:rPr>
  </w:style>
  <w:style w:type="paragraph" w:styleId="HeaderandFooter">
    <w:name w:val="Header and Footer"/>
    <w:basedOn w:val="Normal"/>
    <w:qFormat/>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Footnote">
    <w:name w:val="Footnote Text"/>
    <w:basedOn w:val="Normal"/>
    <w:link w:val="FootnoteTextChar"/>
    <w:rsid w:val="000f5d3a"/>
    <w:pPr/>
    <w:rPr>
      <w:sz w:val="20"/>
    </w:rPr>
  </w:style>
  <w:style w:type="paragraph" w:styleId="HTMLPreformatted">
    <w:name w:val="HTML Preformatted"/>
    <w:basedOn w:val="Normal"/>
    <w:link w:val="HTMLPreformattedChar"/>
    <w:uiPriority w:val="99"/>
    <w:semiHidden/>
    <w:unhideWhenUsed/>
    <w:qFormat/>
    <w:rsid w:val="006f7d57"/>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eastAsia="Times New Roman" w:cs="Courier New"/>
      <w:kern w:val="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d14dd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spirehep.net/literature?q=collaboration:T2K" TargetMode="External"/><Relationship Id="rId3" Type="http://schemas.openxmlformats.org/officeDocument/2006/relationships/hyperlink" Target="https://inspirehep.net/literature?q=collaboration:NOvA" TargetMode="External"/><Relationship Id="rId4" Type="http://schemas.openxmlformats.org/officeDocument/2006/relationships/hyperlink" Target="https://inspirehep.net/literature?q=collaboration:T2K" TargetMode="External"/><Relationship Id="rId5" Type="http://schemas.openxmlformats.org/officeDocument/2006/relationships/hyperlink" Target="https://inspirehep.net/authors/1945984" TargetMode="External"/><Relationship Id="rId6" Type="http://schemas.openxmlformats.org/officeDocument/2006/relationships/hyperlink" Target="https://inspirehep.net/literature/2843824" TargetMode="External"/><Relationship Id="rId7" Type="http://schemas.openxmlformats.org/officeDocument/2006/relationships/hyperlink" Target="https://arxiv.org/abs/2511.05525" TargetMode="External"/><Relationship Id="rId8" Type="http://schemas.openxmlformats.org/officeDocument/2006/relationships/hyperlink" Target="https://arxiv.org/abs/2505.15019"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LibreOffice/7.3.7.2$Linux_X86_64 LibreOffice_project/30$Build-2</Application>
  <AppVersion>15.0000</AppVersion>
  <Pages>3</Pages>
  <Words>766</Words>
  <Characters>4294</Characters>
  <CharactersWithSpaces>4986</CharactersWithSpaces>
  <Paragraphs>92</Paragraphs>
  <Company>高エネルギー加速器研究機構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2022-01-05T09:03:00Z</dcterms:created>
  <dc:creator>kawanisi</dc:creator>
  <dc:description/>
  <dc:language>en-US</dc:language>
  <cp:lastModifiedBy/>
  <cp:lastPrinted>2022-01-05T09:03:00Z</cp:lastPrinted>
  <dcterms:modified xsi:type="dcterms:W3CDTF">2026-02-12T17:27:58Z</dcterms:modified>
  <cp:revision>20</cp:revision>
  <dc:subject/>
  <dc:title>Proposal for AIL Project</dc:title>
</cp:coreProperties>
</file>

<file path=docProps/custom.xml><?xml version="1.0" encoding="utf-8"?>
<Properties xmlns="http://schemas.openxmlformats.org/officeDocument/2006/custom-properties" xmlns:vt="http://schemas.openxmlformats.org/officeDocument/2006/docPropsVTypes"/>
</file>