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horzAnchor="margin" w:tblpY="470"/>
        <w:tblW w:w="985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9855"/>
      </w:tblGrid>
      <w:tr w:rsidR="003C1805" w:rsidRPr="00854052" w14:paraId="700388C9" w14:textId="77777777" w:rsidTr="00F23017">
        <w:tc>
          <w:tcPr>
            <w:tcW w:w="9855" w:type="dxa"/>
          </w:tcPr>
          <w:p w14:paraId="691661DB" w14:textId="77777777" w:rsidR="003C1805" w:rsidRPr="00854052" w:rsidRDefault="003C1805" w:rsidP="00B54E81">
            <w:pPr>
              <w:spacing w:before="60" w:after="60"/>
              <w:rPr>
                <w:rFonts w:asciiTheme="minorHAnsi" w:hAnsiTheme="minorHAnsi" w:cs="Calibri"/>
                <w:lang w:val="en-GB"/>
              </w:rPr>
            </w:pPr>
            <w:r w:rsidRPr="00854052">
              <w:rPr>
                <w:rFonts w:asciiTheme="minorHAnsi" w:hAnsiTheme="minorHAnsi" w:cs="Calibri"/>
                <w:b/>
                <w:lang w:val="en-GB"/>
              </w:rPr>
              <w:t>Objectives</w:t>
            </w:r>
            <w:r w:rsidRPr="00854052">
              <w:rPr>
                <w:rFonts w:asciiTheme="minorHAnsi" w:hAnsiTheme="minorHAnsi" w:cs="Calibri"/>
                <w:lang w:val="en-GB"/>
              </w:rPr>
              <w:t xml:space="preserve"> </w:t>
            </w:r>
          </w:p>
          <w:p w14:paraId="1AB4F104" w14:textId="77777777" w:rsidR="003C1805" w:rsidRPr="009D5D02" w:rsidRDefault="003C1805" w:rsidP="00B54E81">
            <w:pPr>
              <w:spacing w:before="60" w:after="60"/>
              <w:rPr>
                <w:rFonts w:asciiTheme="minorHAnsi" w:hAnsiTheme="minorHAnsi" w:cs="Calibri"/>
                <w:i/>
                <w:color w:val="AEAAAA" w:themeColor="background2" w:themeShade="BF"/>
              </w:rPr>
            </w:pPr>
            <w:r w:rsidRPr="009D5D02">
              <w:rPr>
                <w:rFonts w:asciiTheme="minorHAnsi" w:hAnsiTheme="minorHAnsi" w:cs="Calibri"/>
                <w:i/>
                <w:color w:val="AEAAAA" w:themeColor="background2" w:themeShade="BF"/>
              </w:rPr>
              <w:t>For work packages focusing on trans-national access provision, the information to be provided here must be structured as follows:</w:t>
            </w:r>
          </w:p>
          <w:p w14:paraId="2A8EF3DB" w14:textId="1472E638" w:rsidR="003C1805" w:rsidRPr="00854052" w:rsidRDefault="003C1805" w:rsidP="00B54E81">
            <w:pPr>
              <w:spacing w:before="60" w:after="60"/>
              <w:rPr>
                <w:rFonts w:asciiTheme="minorHAnsi" w:hAnsiTheme="minorHAnsi" w:cs="Calibri"/>
                <w:b/>
              </w:rPr>
            </w:pPr>
            <w:r w:rsidRPr="00854052">
              <w:rPr>
                <w:rFonts w:asciiTheme="minorHAnsi" w:hAnsiTheme="minorHAnsi" w:cs="Calibri"/>
                <w:b/>
              </w:rPr>
              <w:t>Provision of access to the following infrastructure(s):</w:t>
            </w:r>
            <w:r w:rsidR="00F105C1">
              <w:rPr>
                <w:rFonts w:asciiTheme="minorHAnsi" w:hAnsiTheme="minorHAnsi" w:cs="Calibri"/>
                <w:b/>
              </w:rPr>
              <w:t xml:space="preserve"> </w:t>
            </w:r>
          </w:p>
          <w:p w14:paraId="492DE463" w14:textId="77777777" w:rsidR="003C1805" w:rsidRPr="00854052" w:rsidRDefault="003C1805" w:rsidP="00B54E81">
            <w:pPr>
              <w:spacing w:before="60" w:after="60"/>
              <w:rPr>
                <w:rFonts w:asciiTheme="minorHAnsi" w:hAnsiTheme="minorHAnsi" w:cs="Calibri"/>
                <w:b/>
              </w:rPr>
            </w:pPr>
            <w:r w:rsidRPr="00854052">
              <w:rPr>
                <w:rFonts w:asciiTheme="minorHAnsi" w:hAnsiTheme="minorHAnsi" w:cs="Calibri"/>
                <w:b/>
              </w:rPr>
              <w:t>Description of the infrastructure</w:t>
            </w:r>
          </w:p>
          <w:p w14:paraId="009F7CEA" w14:textId="422DE692" w:rsidR="003C1805" w:rsidRPr="00F105C1" w:rsidRDefault="003C1805" w:rsidP="00F105C1">
            <w:pPr>
              <w:widowControl/>
              <w:autoSpaceDE w:val="0"/>
              <w:autoSpaceDN w:val="0"/>
              <w:adjustRightInd w:val="0"/>
              <w:rPr>
                <w:rFonts w:asciiTheme="minorHAnsi" w:eastAsiaTheme="minorHAnsi" w:hAnsiTheme="minorHAnsi" w:cstheme="minorHAnsi"/>
                <w:b/>
                <w:bCs/>
              </w:rPr>
            </w:pPr>
            <w:r w:rsidRPr="00854052">
              <w:rPr>
                <w:rFonts w:asciiTheme="minorHAnsi" w:hAnsiTheme="minorHAnsi" w:cs="Calibri"/>
                <w:iCs/>
                <w:u w:val="single"/>
              </w:rPr>
              <w:t>Name of the infrastructure (and its installations, if applicable):</w:t>
            </w:r>
            <w:r w:rsidR="00F105C1">
              <w:rPr>
                <w:rFonts w:asciiTheme="minorHAnsi" w:hAnsiTheme="minorHAnsi" w:cs="Calibri"/>
                <w:iCs/>
                <w:u w:val="single"/>
              </w:rPr>
              <w:t xml:space="preserve"> </w:t>
            </w:r>
            <w:r w:rsidR="00F105C1" w:rsidRPr="00F105C1">
              <w:rPr>
                <w:rFonts w:ascii="TimesNewRomanPS-BoldMT" w:eastAsiaTheme="minorHAnsi" w:hAnsi="TimesNewRomanPS-BoldMT" w:cs="TimesNewRomanPS-BoldMT"/>
                <w:b/>
                <w:bCs/>
              </w:rPr>
              <w:t xml:space="preserve"> </w:t>
            </w:r>
            <w:r w:rsidR="00F105C1" w:rsidRPr="00F105C1">
              <w:rPr>
                <w:rFonts w:asciiTheme="minorHAnsi" w:eastAsiaTheme="minorHAnsi" w:hAnsiTheme="minorHAnsi" w:cstheme="minorHAnsi"/>
                <w:b/>
                <w:bCs/>
              </w:rPr>
              <w:t>GSI Helmholtzzentrum für Schwerionenforschung, FAIR - Facility for</w:t>
            </w:r>
            <w:r w:rsidR="00F105C1">
              <w:rPr>
                <w:rFonts w:asciiTheme="minorHAnsi" w:eastAsiaTheme="minorHAnsi" w:hAnsiTheme="minorHAnsi" w:cstheme="minorHAnsi"/>
                <w:b/>
                <w:bCs/>
              </w:rPr>
              <w:t xml:space="preserve"> </w:t>
            </w:r>
            <w:r w:rsidR="00F105C1" w:rsidRPr="00F105C1">
              <w:rPr>
                <w:rFonts w:asciiTheme="minorHAnsi" w:eastAsiaTheme="minorHAnsi" w:hAnsiTheme="minorHAnsi" w:cstheme="minorHAnsi"/>
                <w:b/>
                <w:bCs/>
              </w:rPr>
              <w:t>Antiproton and Ion Research</w:t>
            </w:r>
          </w:p>
          <w:p w14:paraId="0187D369" w14:textId="1835B267" w:rsidR="003C1805" w:rsidRPr="00854052" w:rsidRDefault="003C1805" w:rsidP="00B54E81">
            <w:pPr>
              <w:spacing w:before="60" w:after="60"/>
              <w:rPr>
                <w:rFonts w:asciiTheme="minorHAnsi" w:hAnsiTheme="minorHAnsi" w:cs="Calibri"/>
                <w:i/>
                <w:iCs/>
              </w:rPr>
            </w:pPr>
            <w:r w:rsidRPr="00854052">
              <w:rPr>
                <w:rFonts w:asciiTheme="minorHAnsi" w:hAnsiTheme="minorHAnsi" w:cs="Calibri"/>
                <w:iCs/>
                <w:u w:val="single"/>
              </w:rPr>
              <w:t>Location (town, country) of the infrastructure:</w:t>
            </w:r>
            <w:r w:rsidRPr="00854052">
              <w:rPr>
                <w:rFonts w:asciiTheme="minorHAnsi" w:hAnsiTheme="minorHAnsi" w:cs="Calibri"/>
                <w:iCs/>
              </w:rPr>
              <w:t xml:space="preserve"> </w:t>
            </w:r>
            <w:r w:rsidR="00F105C1">
              <w:rPr>
                <w:rFonts w:asciiTheme="minorHAnsi" w:hAnsiTheme="minorHAnsi" w:cs="Calibri"/>
                <w:iCs/>
              </w:rPr>
              <w:t>GSI and FAIR are located in Darmstadt, Germany</w:t>
            </w:r>
          </w:p>
          <w:p w14:paraId="52C611AD" w14:textId="6F879A13" w:rsidR="003C1805" w:rsidRPr="00854052" w:rsidRDefault="003C1805" w:rsidP="00B54E81">
            <w:pPr>
              <w:spacing w:before="60" w:after="60"/>
              <w:rPr>
                <w:rFonts w:asciiTheme="minorHAnsi" w:hAnsiTheme="minorHAnsi" w:cs="Calibri"/>
                <w:iCs/>
                <w:u w:val="single"/>
              </w:rPr>
            </w:pPr>
            <w:r w:rsidRPr="00854052">
              <w:rPr>
                <w:rFonts w:asciiTheme="minorHAnsi" w:hAnsiTheme="minorHAnsi" w:cs="Calibri"/>
                <w:iCs/>
                <w:u w:val="single"/>
              </w:rPr>
              <w:t>Web site address:</w:t>
            </w:r>
            <w:r w:rsidR="00F105C1">
              <w:t xml:space="preserve"> </w:t>
            </w:r>
            <w:r w:rsidR="00F105C1" w:rsidRPr="00F105C1">
              <w:rPr>
                <w:rFonts w:asciiTheme="minorHAnsi" w:hAnsiTheme="minorHAnsi" w:cs="Calibri"/>
                <w:iCs/>
              </w:rPr>
              <w:t>https://www.gsi.de, https://fair-center.eu/</w:t>
            </w:r>
          </w:p>
          <w:p w14:paraId="13A0F779" w14:textId="49BC9FD1" w:rsidR="003C1805" w:rsidRPr="00854052" w:rsidRDefault="003C1805" w:rsidP="00B54E81">
            <w:pPr>
              <w:spacing w:before="60" w:after="60"/>
              <w:rPr>
                <w:rFonts w:asciiTheme="minorHAnsi" w:hAnsiTheme="minorHAnsi" w:cs="Calibri"/>
                <w:iCs/>
                <w:u w:val="single"/>
              </w:rPr>
            </w:pPr>
            <w:r w:rsidRPr="00854052">
              <w:rPr>
                <w:rFonts w:asciiTheme="minorHAnsi" w:hAnsiTheme="minorHAnsi" w:cs="Calibri"/>
                <w:iCs/>
                <w:u w:val="single"/>
              </w:rPr>
              <w:t>Annual operating costs (excl. investment costs) of the infrastructure (€):</w:t>
            </w:r>
            <w:r w:rsidR="00C0343E">
              <w:rPr>
                <w:rFonts w:asciiTheme="minorHAnsi" w:hAnsiTheme="minorHAnsi" w:cs="Calibri"/>
                <w:iCs/>
                <w:u w:val="single"/>
              </w:rPr>
              <w:t xml:space="preserve"> 6230 kEuro</w:t>
            </w:r>
          </w:p>
          <w:p w14:paraId="20E1362D" w14:textId="7C835AEA" w:rsidR="006E15FE" w:rsidRPr="005A6F5C" w:rsidRDefault="003C1805" w:rsidP="00B25518">
            <w:pPr>
              <w:spacing w:after="80"/>
              <w:ind w:right="-61"/>
              <w:jc w:val="both"/>
              <w:rPr>
                <w:rFonts w:asciiTheme="minorHAnsi" w:hAnsiTheme="minorHAnsi" w:cstheme="minorHAnsi"/>
              </w:rPr>
            </w:pPr>
            <w:r w:rsidRPr="00854052">
              <w:rPr>
                <w:rFonts w:asciiTheme="minorHAnsi" w:hAnsiTheme="minorHAnsi" w:cs="Calibri"/>
                <w:u w:val="single"/>
              </w:rPr>
              <w:t>Description of the infrastructure:</w:t>
            </w:r>
            <w:r w:rsidR="006E15FE">
              <w:rPr>
                <w:rFonts w:asciiTheme="minorHAnsi" w:hAnsiTheme="minorHAnsi" w:cs="Calibri"/>
                <w:i/>
                <w:iCs/>
              </w:rPr>
              <w:t xml:space="preserve"> </w:t>
            </w:r>
            <w:r w:rsidR="006E15FE" w:rsidRPr="006E15FE">
              <w:t xml:space="preserve">GSI is operating a large accelerator complex consisting of the linear </w:t>
            </w:r>
            <w:r w:rsidR="006E15FE" w:rsidRPr="005A6F5C">
              <w:rPr>
                <w:rFonts w:asciiTheme="minorHAnsi" w:hAnsiTheme="minorHAnsi" w:cstheme="minorHAnsi"/>
              </w:rPr>
              <w:t>accelerator UNILAC, the heavy-ion synchrotron SIS18 and the experimental storage and cooler ring ESR, which are offering both stable ion beams and relativistic radioactive ion beams. The UNILAC accelerates a wide variety of ion species</w:t>
            </w:r>
            <w:r w:rsidR="00B25518" w:rsidRPr="005A6F5C">
              <w:rPr>
                <w:rFonts w:asciiTheme="minorHAnsi" w:hAnsiTheme="minorHAnsi" w:cstheme="minorHAnsi"/>
              </w:rPr>
              <w:t>, including uranium, to energies up to 11.4 MeV/u. UNILAC beams are either fed to various experimental stations or to the next accelerator stage. SIS18 accelerates all ions up to ~ 2 GeV/u for carbon, 4.2 GeV for protons, and ~ 1 GeV/u for uranium. Exotic nuclei are produced, identified, and separated in the Fragment Separator (FRS).  In the ESR, equipped with powerful stochastic and electron cooling devices, stable or radioactive ion beams can be stored and cooled up to energies of ~560 MeV/u (for uranium).  CRYRING@ESR offers cooled primary and secondary beams of 4 MeV/u down to 10 keV/u. It is equipped with internal ion sources for stand-alone experiments with stable beams.</w:t>
            </w:r>
          </w:p>
          <w:p w14:paraId="5643BC8A" w14:textId="0FDAEEAA" w:rsidR="00B25518" w:rsidRPr="005A6F5C" w:rsidRDefault="00B25518" w:rsidP="00B25518">
            <w:pPr>
              <w:spacing w:after="80"/>
              <w:ind w:right="-61"/>
              <w:jc w:val="both"/>
              <w:rPr>
                <w:rFonts w:asciiTheme="minorHAnsi" w:hAnsiTheme="minorHAnsi" w:cstheme="minorHAnsi"/>
              </w:rPr>
            </w:pPr>
            <w:r w:rsidRPr="005A6F5C">
              <w:rPr>
                <w:rFonts w:asciiTheme="minorHAnsi" w:hAnsiTheme="minorHAnsi" w:cstheme="minorHAnsi"/>
              </w:rPr>
              <w:t>The existing GSI accelerator facilities will serve as injectors for the FAIR facility. The center piece of the FAIR facility is the SIS100 synchrotron and the Super-FRS. SIS100 will provide high intensity beams of U28+ (5</w:t>
            </w:r>
            <w:r w:rsidR="005A6F5C">
              <w:rPr>
                <w:rFonts w:asciiTheme="minorHAnsi" w:hAnsiTheme="minorHAnsi" w:cstheme="minorHAnsi"/>
              </w:rPr>
              <w:t>e</w:t>
            </w:r>
            <w:r w:rsidRPr="005A6F5C">
              <w:rPr>
                <w:rFonts w:asciiTheme="minorHAnsi" w:hAnsiTheme="minorHAnsi" w:cstheme="minorHAnsi"/>
              </w:rPr>
              <w:t>11 /cy up to 2.7 GeV/u) and U92+ (4</w:t>
            </w:r>
            <w:r w:rsidR="005A6F5C">
              <w:rPr>
                <w:rFonts w:asciiTheme="minorHAnsi" w:hAnsiTheme="minorHAnsi" w:cstheme="minorHAnsi"/>
              </w:rPr>
              <w:t>e</w:t>
            </w:r>
            <w:r w:rsidRPr="005A6F5C">
              <w:rPr>
                <w:rFonts w:asciiTheme="minorHAnsi" w:hAnsiTheme="minorHAnsi" w:cstheme="minorHAnsi"/>
              </w:rPr>
              <w:t>10/cy up to 10 GeV/u). The Super-FRS is planned to be available with SIS18 beams for first experiments end 2027. SIS100 will become operational end of 2028.</w:t>
            </w:r>
          </w:p>
          <w:p w14:paraId="2E506D6D" w14:textId="3D5BC0E1" w:rsidR="00B25518" w:rsidRDefault="005A6F5C" w:rsidP="00B25518">
            <w:pPr>
              <w:spacing w:after="80"/>
              <w:ind w:right="-61"/>
              <w:jc w:val="both"/>
              <w:rPr>
                <w:rFonts w:asciiTheme="minorHAnsi" w:hAnsiTheme="minorHAnsi" w:cstheme="minorHAnsi"/>
              </w:rPr>
            </w:pPr>
            <w:r w:rsidRPr="005A6F5C">
              <w:rPr>
                <w:rFonts w:asciiTheme="minorHAnsi" w:hAnsiTheme="minorHAnsi" w:cstheme="minorHAnsi"/>
              </w:rPr>
              <w:t>State-of-the-art equipment dedicated to nuclear, atomic, biophysics and applications at the UNILAC are: The velocity filter SHIP and the gas-filled separator TASCA for the separation and detection of super-heavy elements,</w:t>
            </w:r>
            <w:r>
              <w:rPr>
                <w:rFonts w:asciiTheme="minorHAnsi" w:hAnsiTheme="minorHAnsi" w:cstheme="minorHAnsi"/>
              </w:rPr>
              <w:t xml:space="preserve"> </w:t>
            </w:r>
            <w:r w:rsidRPr="005A6F5C">
              <w:rPr>
                <w:rFonts w:asciiTheme="minorHAnsi" w:hAnsiTheme="minorHAnsi" w:cstheme="minorHAnsi"/>
              </w:rPr>
              <w:t xml:space="preserve">the </w:t>
            </w:r>
            <w:r>
              <w:rPr>
                <w:rFonts w:asciiTheme="minorHAnsi" w:hAnsiTheme="minorHAnsi" w:cstheme="minorHAnsi"/>
              </w:rPr>
              <w:t>various experimental stations</w:t>
            </w:r>
            <w:r w:rsidRPr="005A6F5C">
              <w:rPr>
                <w:rFonts w:asciiTheme="minorHAnsi" w:hAnsiTheme="minorHAnsi" w:cstheme="minorHAnsi"/>
              </w:rPr>
              <w:t xml:space="preserve"> for materials science and a laser facility for generating hadron beams (protons and neutrons) up to 40 MeV/u.</w:t>
            </w:r>
          </w:p>
          <w:p w14:paraId="040356AD" w14:textId="2B044699" w:rsidR="005A6F5C" w:rsidRDefault="005A6F5C" w:rsidP="005A6F5C">
            <w:pPr>
              <w:spacing w:after="80"/>
              <w:ind w:right="-61"/>
              <w:jc w:val="both"/>
              <w:rPr>
                <w:rFonts w:asciiTheme="minorHAnsi" w:hAnsiTheme="minorHAnsi" w:cstheme="minorHAnsi"/>
              </w:rPr>
            </w:pPr>
            <w:r w:rsidRPr="005A6F5C">
              <w:rPr>
                <w:rFonts w:asciiTheme="minorHAnsi" w:hAnsiTheme="minorHAnsi" w:cstheme="minorHAnsi"/>
              </w:rPr>
              <w:t xml:space="preserve">SIS18 is serving the HADES (High Acceptance Dilepton Spectrometer) set-up with direct beams and secondary </w:t>
            </w:r>
            <w:r>
              <w:rPr>
                <w:rFonts w:asciiTheme="minorHAnsi" w:hAnsiTheme="minorHAnsi" w:cstheme="minorHAnsi"/>
              </w:rPr>
              <w:t xml:space="preserve">pion </w:t>
            </w:r>
            <w:r w:rsidRPr="005A6F5C">
              <w:rPr>
                <w:rFonts w:asciiTheme="minorHAnsi" w:hAnsiTheme="minorHAnsi" w:cstheme="minorHAnsi"/>
              </w:rPr>
              <w:t>beams for experiments and provides direct beams for various experimental stations dedicated to materials research and biophysics for irradiation experiments combined with in-situ characterization of materials and/or biological specimen;</w:t>
            </w:r>
            <w:r>
              <w:rPr>
                <w:rFonts w:asciiTheme="minorHAnsi" w:hAnsiTheme="minorHAnsi" w:cstheme="minorHAnsi"/>
              </w:rPr>
              <w:t xml:space="preserve"> and m</w:t>
            </w:r>
            <w:r w:rsidRPr="005A6F5C">
              <w:rPr>
                <w:rFonts w:asciiTheme="minorHAnsi" w:hAnsiTheme="minorHAnsi" w:cstheme="minorHAnsi"/>
              </w:rPr>
              <w:t>ultipurpose test stations, e.g. for tests of electronic components, or of detectors built for particle/nuclear physics and also for space missions.</w:t>
            </w:r>
          </w:p>
          <w:p w14:paraId="2140DF4E" w14:textId="127CC072" w:rsidR="005A6F5C" w:rsidRPr="005A6F5C" w:rsidRDefault="005A6F5C" w:rsidP="005A6F5C">
            <w:pPr>
              <w:spacing w:after="80"/>
              <w:ind w:right="-61"/>
              <w:jc w:val="both"/>
              <w:rPr>
                <w:rFonts w:asciiTheme="minorHAnsi" w:hAnsiTheme="minorHAnsi" w:cstheme="minorHAnsi"/>
              </w:rPr>
            </w:pPr>
            <w:r w:rsidRPr="005A6F5C">
              <w:rPr>
                <w:rFonts w:asciiTheme="minorHAnsi" w:hAnsiTheme="minorHAnsi" w:cstheme="minorHAnsi"/>
              </w:rPr>
              <w:t>The fragment separator FRS for production and in-flight separation of exotic nuclei serves a number of experimental sites for research on nuclei at and beyond the driplines. In particular, the storage ring ESR is a unique experimental facility at GSI/FAIR and provides</w:t>
            </w:r>
            <w:r>
              <w:rPr>
                <w:rFonts w:asciiTheme="minorHAnsi" w:hAnsiTheme="minorHAnsi" w:cstheme="minorHAnsi"/>
              </w:rPr>
              <w:t xml:space="preserve"> </w:t>
            </w:r>
            <w:r w:rsidRPr="005A6F5C">
              <w:rPr>
                <w:rFonts w:asciiTheme="minorHAnsi" w:hAnsiTheme="minorHAnsi" w:cstheme="minorHAnsi"/>
              </w:rPr>
              <w:t>Schottky mass spectrometry as well as isochronous time-of-flight mass spectrometry, an internal gas-jet target for atomic spectroscopy and nuclear reaction studies;</w:t>
            </w:r>
          </w:p>
          <w:p w14:paraId="05B09465" w14:textId="6AC8CBF0" w:rsidR="005A6F5C" w:rsidRPr="00F23017" w:rsidRDefault="005A6F5C" w:rsidP="00F23017">
            <w:pPr>
              <w:spacing w:after="80"/>
              <w:ind w:right="-61"/>
              <w:jc w:val="both"/>
              <w:rPr>
                <w:rFonts w:asciiTheme="minorHAnsi" w:hAnsiTheme="minorHAnsi" w:cstheme="minorHAnsi"/>
              </w:rPr>
            </w:pPr>
            <w:r w:rsidRPr="005A6F5C">
              <w:rPr>
                <w:rFonts w:asciiTheme="minorHAnsi" w:hAnsiTheme="minorHAnsi" w:cstheme="minorHAnsi"/>
              </w:rPr>
              <w:t>Dedicated experimental equipment for nuclear structure investigations at FRS@GSI and later at Super-FRS@FAIR are:</w:t>
            </w:r>
            <w:r w:rsidR="00F23017">
              <w:rPr>
                <w:rFonts w:asciiTheme="minorHAnsi" w:hAnsiTheme="minorHAnsi" w:cstheme="minorHAnsi"/>
              </w:rPr>
              <w:t xml:space="preserve"> </w:t>
            </w:r>
            <w:r w:rsidRPr="00F23017">
              <w:rPr>
                <w:rFonts w:asciiTheme="minorHAnsi" w:hAnsiTheme="minorHAnsi" w:cstheme="minorHAnsi"/>
              </w:rPr>
              <w:t>The R3B nuclear reaction set-up with dipole magnet GLAD to study collective states and complete kinematics reactions is available for experiments</w:t>
            </w:r>
            <w:r w:rsidR="00F23017">
              <w:rPr>
                <w:rFonts w:asciiTheme="minorHAnsi" w:hAnsiTheme="minorHAnsi" w:cstheme="minorHAnsi"/>
              </w:rPr>
              <w:t xml:space="preserve">. The </w:t>
            </w:r>
            <w:r w:rsidRPr="00F23017">
              <w:rPr>
                <w:rFonts w:asciiTheme="minorHAnsi" w:hAnsiTheme="minorHAnsi" w:cstheme="minorHAnsi"/>
              </w:rPr>
              <w:t>Ion Catcher facility for experiments with thermalized exotic nuclei for mass measurements and isomer studies with a multiple-reflection time-of-flight mass spectrometer, for decay spectroscopy</w:t>
            </w:r>
            <w:r w:rsidR="00F23017">
              <w:rPr>
                <w:rFonts w:asciiTheme="minorHAnsi" w:hAnsiTheme="minorHAnsi" w:cstheme="minorHAnsi"/>
              </w:rPr>
              <w:t>, and a suite of  h</w:t>
            </w:r>
            <w:r w:rsidRPr="00F23017">
              <w:rPr>
                <w:rFonts w:asciiTheme="minorHAnsi" w:hAnsiTheme="minorHAnsi" w:cstheme="minorHAnsi"/>
              </w:rPr>
              <w:t>igh-resolution Ge detectors and fast-timing arrays for atomic and nuclear spectroscopy experiments</w:t>
            </w:r>
            <w:r w:rsidR="00F23017">
              <w:rPr>
                <w:rFonts w:asciiTheme="minorHAnsi" w:hAnsiTheme="minorHAnsi" w:cstheme="minorHAnsi"/>
              </w:rPr>
              <w:t>.</w:t>
            </w:r>
          </w:p>
          <w:p w14:paraId="62399DFD" w14:textId="12F5A106" w:rsidR="005A6F5C" w:rsidRPr="005A6F5C" w:rsidRDefault="005A6F5C" w:rsidP="005A6F5C">
            <w:pPr>
              <w:spacing w:after="80"/>
              <w:ind w:right="-61"/>
              <w:jc w:val="both"/>
              <w:rPr>
                <w:rFonts w:asciiTheme="minorHAnsi" w:hAnsiTheme="minorHAnsi" w:cstheme="minorHAnsi"/>
              </w:rPr>
            </w:pPr>
            <w:r w:rsidRPr="005A6F5C">
              <w:rPr>
                <w:rFonts w:asciiTheme="minorHAnsi" w:hAnsiTheme="minorHAnsi" w:cstheme="minorHAnsi"/>
              </w:rPr>
              <w:t xml:space="preserve">The Super-FRS of FAIR will allow for unprecedented experiments with exotic nuclear beams at relativistic energies; its large acceptance and higher primary intensities makes experiments possible, which cannot be </w:t>
            </w:r>
            <w:r w:rsidRPr="005A6F5C">
              <w:rPr>
                <w:rFonts w:asciiTheme="minorHAnsi" w:hAnsiTheme="minorHAnsi" w:cstheme="minorHAnsi"/>
              </w:rPr>
              <w:lastRenderedPageBreak/>
              <w:t>performed at GSI today.</w:t>
            </w:r>
          </w:p>
          <w:p w14:paraId="576ECEB2" w14:textId="77777777" w:rsidR="005A6F5C" w:rsidRPr="005A6F5C" w:rsidRDefault="005A6F5C" w:rsidP="005A6F5C">
            <w:pPr>
              <w:spacing w:after="80"/>
              <w:ind w:right="-61"/>
              <w:jc w:val="both"/>
              <w:rPr>
                <w:rFonts w:asciiTheme="minorHAnsi" w:hAnsiTheme="minorHAnsi" w:cstheme="minorHAnsi"/>
              </w:rPr>
            </w:pPr>
            <w:r w:rsidRPr="005A6F5C">
              <w:rPr>
                <w:rFonts w:asciiTheme="minorHAnsi" w:hAnsiTheme="minorHAnsi" w:cstheme="minorHAnsi"/>
              </w:rPr>
              <w:t>SIS100@FAIR will deliver high intensity primary beams to the CBM experiment, dedicated to study baryonic matter at highest densities created in heavy-ion collisions.</w:t>
            </w:r>
          </w:p>
          <w:p w14:paraId="65BADAD5" w14:textId="7FF2FA67" w:rsidR="005A6F5C" w:rsidRPr="005A6F5C" w:rsidRDefault="005A6F5C" w:rsidP="005A6F5C">
            <w:pPr>
              <w:spacing w:after="80"/>
              <w:ind w:right="-61"/>
              <w:jc w:val="both"/>
              <w:rPr>
                <w:rFonts w:asciiTheme="minorHAnsi" w:hAnsiTheme="minorHAnsi" w:cstheme="minorHAnsi"/>
              </w:rPr>
            </w:pPr>
            <w:r w:rsidRPr="005A6F5C">
              <w:rPr>
                <w:rFonts w:asciiTheme="minorHAnsi" w:hAnsiTheme="minorHAnsi" w:cstheme="minorHAnsi"/>
              </w:rPr>
              <w:t>In addition, equipment and projects dedicated to other or multidisciplinary research are:</w:t>
            </w:r>
            <w:r>
              <w:t xml:space="preserve"> </w:t>
            </w:r>
            <w:r w:rsidRPr="005A6F5C">
              <w:rPr>
                <w:rFonts w:asciiTheme="minorHAnsi" w:hAnsiTheme="minorHAnsi" w:cstheme="minorHAnsi"/>
              </w:rPr>
              <w:t>In addition, equipment and projects dedicated to other or multidisciplinary research are:</w:t>
            </w:r>
            <w:r>
              <w:rPr>
                <w:rFonts w:asciiTheme="minorHAnsi" w:hAnsiTheme="minorHAnsi" w:cstheme="minorHAnsi"/>
              </w:rPr>
              <w:t xml:space="preserve"> </w:t>
            </w:r>
            <w:r w:rsidRPr="005A6F5C">
              <w:rPr>
                <w:rFonts w:asciiTheme="minorHAnsi" w:hAnsiTheme="minorHAnsi" w:cstheme="minorHAnsi"/>
              </w:rPr>
              <w:t>Highly energy-efficient computing center “Green IT-Cube”, currently equipped with close to 54.000 cores and 400 GPUs, and 70 PB disk storage for data analysis and simulations;</w:t>
            </w:r>
            <w:r>
              <w:rPr>
                <w:rFonts w:asciiTheme="minorHAnsi" w:hAnsiTheme="minorHAnsi" w:cstheme="minorHAnsi"/>
              </w:rPr>
              <w:t xml:space="preserve"> f</w:t>
            </w:r>
            <w:r w:rsidRPr="005A6F5C">
              <w:rPr>
                <w:rFonts w:asciiTheme="minorHAnsi" w:hAnsiTheme="minorHAnsi" w:cstheme="minorHAnsi"/>
              </w:rPr>
              <w:t>or atomic physics, the chain of trapping and storage facilities for heavy, highly-charged ions (ESR, CRYRING, HITRAP) all equipped with a broad variety of dedicated instrumentation;</w:t>
            </w:r>
          </w:p>
          <w:p w14:paraId="52EC37EF" w14:textId="5A8C41A8" w:rsidR="00F23017" w:rsidRPr="00DC4256" w:rsidRDefault="003C1805" w:rsidP="00F23017">
            <w:pPr>
              <w:spacing w:after="80"/>
              <w:ind w:right="-61"/>
              <w:jc w:val="both"/>
              <w:rPr>
                <w:rFonts w:asciiTheme="minorHAnsi" w:hAnsiTheme="minorHAnsi" w:cs="Calibri"/>
                <w:color w:val="000000" w:themeColor="text1"/>
              </w:rPr>
            </w:pPr>
            <w:r w:rsidRPr="00854052">
              <w:rPr>
                <w:rFonts w:asciiTheme="minorHAnsi" w:hAnsiTheme="minorHAnsi" w:cs="Calibri"/>
                <w:u w:val="single"/>
              </w:rPr>
              <w:t>Services currently offered by the infrastructure:</w:t>
            </w:r>
            <w:r w:rsidR="00F23017">
              <w:rPr>
                <w:rFonts w:asciiTheme="minorHAnsi" w:hAnsiTheme="minorHAnsi" w:cs="Calibri"/>
                <w:i/>
                <w:iCs/>
                <w:color w:val="44546A" w:themeColor="text2"/>
              </w:rPr>
              <w:t xml:space="preserve"> </w:t>
            </w:r>
            <w:r w:rsidR="00F23017">
              <w:t xml:space="preserve"> </w:t>
            </w:r>
            <w:r w:rsidR="00F23017" w:rsidRPr="00DC4256">
              <w:rPr>
                <w:rFonts w:asciiTheme="minorHAnsi" w:hAnsiTheme="minorHAnsi" w:cs="Calibri"/>
                <w:color w:val="000000" w:themeColor="text1"/>
              </w:rPr>
              <w:t xml:space="preserve">GSI-FAIR is a user facility open to national and international user groups. The beam time application procedure is described at </w:t>
            </w:r>
            <w:hyperlink r:id="rId7" w:history="1">
              <w:r w:rsidR="00F23017" w:rsidRPr="00DC4256">
                <w:rPr>
                  <w:rStyle w:val="Hyperlink"/>
                  <w:rFonts w:asciiTheme="minorHAnsi" w:hAnsiTheme="minorHAnsi" w:cs="Calibri"/>
                  <w:color w:val="000000" w:themeColor="text1"/>
                </w:rPr>
                <w:t>www.gsi.de/en/work/organisation</w:t>
              </w:r>
            </w:hyperlink>
            <w:r w:rsidR="00F23017" w:rsidRPr="00DC4256">
              <w:rPr>
                <w:rFonts w:asciiTheme="minorHAnsi" w:hAnsiTheme="minorHAnsi" w:cs="Calibri"/>
                <w:color w:val="000000" w:themeColor="text1"/>
              </w:rPr>
              <w:t xml:space="preserve"> /scientific_boards/user/beam_time/applying_for_beamtime.htm.</w:t>
            </w:r>
          </w:p>
          <w:p w14:paraId="4B2AAA75" w14:textId="0DC61288" w:rsidR="00F23017" w:rsidRPr="00DC4256" w:rsidRDefault="00F23017" w:rsidP="00F23017">
            <w:pPr>
              <w:spacing w:after="80"/>
              <w:ind w:right="-61"/>
              <w:jc w:val="both"/>
              <w:rPr>
                <w:rFonts w:asciiTheme="minorHAnsi" w:hAnsiTheme="minorHAnsi" w:cs="Calibri"/>
                <w:color w:val="000000" w:themeColor="text1"/>
              </w:rPr>
            </w:pPr>
            <w:r w:rsidRPr="00DC4256">
              <w:rPr>
                <w:rFonts w:asciiTheme="minorHAnsi" w:hAnsiTheme="minorHAnsi" w:cs="Calibri"/>
                <w:color w:val="000000" w:themeColor="text1"/>
              </w:rPr>
              <w:t xml:space="preserve">On top of the wide breadth of available experimental infrastructures described above, all experimental facilities including electronics, computing, etc. are provided free of charge to research groups with approved experiments. </w:t>
            </w:r>
          </w:p>
          <w:p w14:paraId="10DFAD2E" w14:textId="02C1949F" w:rsidR="003C1805" w:rsidRPr="00854052" w:rsidRDefault="00F23017" w:rsidP="00F23017">
            <w:pPr>
              <w:spacing w:after="80"/>
              <w:ind w:right="-61"/>
              <w:jc w:val="both"/>
              <w:rPr>
                <w:rFonts w:asciiTheme="minorHAnsi" w:hAnsiTheme="minorHAnsi" w:cs="Calibri"/>
                <w:i/>
                <w:iCs/>
              </w:rPr>
            </w:pPr>
            <w:r w:rsidRPr="00DC4256">
              <w:rPr>
                <w:rFonts w:asciiTheme="minorHAnsi" w:hAnsiTheme="minorHAnsi" w:cs="Calibri"/>
                <w:color w:val="000000" w:themeColor="text1"/>
              </w:rPr>
              <w:t>Total number of users from the nuclear and hadron physics community: 1380, thereof 93 % external. Total number of users from the atomic physics, biophysics and materials science community: 450 users / year thereof 91 % external.</w:t>
            </w:r>
          </w:p>
        </w:tc>
      </w:tr>
    </w:tbl>
    <w:p w14:paraId="52A3875F" w14:textId="77777777" w:rsidR="003C1805" w:rsidRPr="00B54E81" w:rsidRDefault="00B54E81" w:rsidP="003C1805">
      <w:pPr>
        <w:spacing w:before="60" w:after="60"/>
        <w:rPr>
          <w:rFonts w:asciiTheme="minorHAnsi" w:hAnsiTheme="minorHAnsi" w:cs="Calibri"/>
          <w:b/>
          <w:lang w:val="en-GB"/>
        </w:rPr>
      </w:pPr>
      <w:r w:rsidRPr="00B54E81">
        <w:rPr>
          <w:rFonts w:asciiTheme="minorHAnsi" w:hAnsiTheme="minorHAnsi" w:cs="Calibri"/>
          <w:b/>
          <w:lang w:val="en-GB"/>
        </w:rPr>
        <w:lastRenderedPageBreak/>
        <w:t>TA information for proposal</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9855"/>
      </w:tblGrid>
      <w:tr w:rsidR="003C1805" w:rsidRPr="00854052" w14:paraId="38818AF6" w14:textId="77777777" w:rsidTr="0028325A">
        <w:tc>
          <w:tcPr>
            <w:tcW w:w="9855" w:type="dxa"/>
          </w:tcPr>
          <w:p w14:paraId="668D2731" w14:textId="77777777" w:rsidR="003C1805" w:rsidRDefault="003C1805" w:rsidP="00037AB3">
            <w:pPr>
              <w:spacing w:before="60" w:after="60"/>
              <w:rPr>
                <w:rFonts w:asciiTheme="minorHAnsi" w:hAnsiTheme="minorHAnsi" w:cs="Calibri"/>
                <w:i/>
              </w:rPr>
            </w:pPr>
            <w:r w:rsidRPr="00854052">
              <w:rPr>
                <w:rFonts w:asciiTheme="minorHAnsi" w:hAnsiTheme="minorHAnsi" w:cs="Calibri"/>
                <w:b/>
                <w:lang w:val="en-GB"/>
              </w:rPr>
              <w:t>Description of work</w:t>
            </w:r>
          </w:p>
          <w:p w14:paraId="50258147" w14:textId="77777777" w:rsidR="003C1805" w:rsidRPr="004338E3" w:rsidRDefault="003C1805" w:rsidP="00037AB3">
            <w:pPr>
              <w:spacing w:before="60" w:after="60"/>
              <w:rPr>
                <w:rFonts w:asciiTheme="minorHAnsi" w:hAnsiTheme="minorHAnsi" w:cs="Calibri"/>
                <w:i/>
                <w:color w:val="A8D08D" w:themeColor="accent6" w:themeTint="99"/>
              </w:rPr>
            </w:pPr>
            <w:r w:rsidRPr="009D5D02">
              <w:rPr>
                <w:rFonts w:asciiTheme="minorHAnsi" w:hAnsiTheme="minorHAnsi" w:cs="Calibri"/>
                <w:i/>
                <w:color w:val="AEAAAA" w:themeColor="background2" w:themeShade="BF"/>
              </w:rPr>
              <w:t>For work packages focusing on trans-national access provision, the information to be provided here must be structured as follows. In case some of the following elements are common for all the infrastructures in the grant (e.g. a unique entry point for requesting and/or providing access, or, for trans-national access, a single Selection/Review Panel) the description needs to be given only once under the work package responsible for the coordination of the access provision. Before drafting the text please read carefully the provisions under the section ‘Specific features for Research Infrastructures’ at the end of the Research Infrastructures work programme part.</w:t>
            </w:r>
          </w:p>
          <w:p w14:paraId="4F6BA22C" w14:textId="77777777" w:rsidR="003C1805" w:rsidRPr="009D5D02" w:rsidRDefault="003C1805" w:rsidP="00037AB3">
            <w:pPr>
              <w:spacing w:before="60" w:after="60"/>
              <w:jc w:val="both"/>
              <w:rPr>
                <w:rFonts w:asciiTheme="minorHAnsi" w:hAnsiTheme="minorHAnsi" w:cs="Calibri"/>
                <w:i/>
                <w:color w:val="AEAAAA" w:themeColor="background2" w:themeShade="BF"/>
              </w:rPr>
            </w:pPr>
            <w:r w:rsidRPr="00854052">
              <w:rPr>
                <w:rFonts w:asciiTheme="minorHAnsi" w:hAnsiTheme="minorHAnsi" w:cs="Calibri"/>
                <w:iCs/>
                <w:u w:val="single"/>
              </w:rPr>
              <w:t>Modality of access under this proposal:</w:t>
            </w:r>
            <w:r w:rsidRPr="00854052">
              <w:rPr>
                <w:rFonts w:asciiTheme="minorHAnsi" w:hAnsiTheme="minorHAnsi" w:cs="Calibri"/>
                <w:i/>
              </w:rPr>
              <w:t xml:space="preserve"> </w:t>
            </w:r>
            <w:r w:rsidRPr="009D5D02">
              <w:rPr>
                <w:rFonts w:asciiTheme="minorHAnsi" w:hAnsiTheme="minorHAnsi" w:cs="Calibri"/>
                <w:i/>
                <w:color w:val="AEAAAA" w:themeColor="background2" w:themeShade="BF"/>
              </w:rPr>
              <w:t xml:space="preserve">Outline how a user, or user group, will be given access to the infrastructure or to its services (e.g. </w:t>
            </w:r>
            <w:r w:rsidRPr="009D5D02">
              <w:rPr>
                <w:rFonts w:asciiTheme="minorHAnsi" w:hAnsiTheme="minorHAnsi" w:cs="Calibri"/>
                <w:b/>
                <w:i/>
                <w:color w:val="AEAAAA" w:themeColor="background2" w:themeShade="BF"/>
              </w:rPr>
              <w:t>trans-national</w:t>
            </w:r>
            <w:r w:rsidRPr="009D5D02">
              <w:rPr>
                <w:rFonts w:asciiTheme="minorHAnsi" w:hAnsiTheme="minorHAnsi" w:cs="Calibri"/>
                <w:i/>
                <w:color w:val="AEAAAA" w:themeColor="background2" w:themeShade="BF"/>
              </w:rPr>
              <w:t>, type of equipment/service used, expected output/deliverables, etc.).</w:t>
            </w:r>
          </w:p>
          <w:p w14:paraId="1A584BD2" w14:textId="77777777" w:rsidR="007D030B" w:rsidRPr="009D5D02" w:rsidRDefault="003C1805" w:rsidP="00037AB3">
            <w:pPr>
              <w:spacing w:before="60" w:after="60"/>
              <w:jc w:val="both"/>
              <w:rPr>
                <w:rFonts w:asciiTheme="minorHAnsi" w:hAnsiTheme="minorHAnsi" w:cs="Calibri"/>
                <w:i/>
                <w:color w:val="AEAAAA" w:themeColor="background2" w:themeShade="BF"/>
              </w:rPr>
            </w:pPr>
            <w:r w:rsidRPr="009D5D02">
              <w:rPr>
                <w:rFonts w:asciiTheme="minorHAnsi" w:hAnsiTheme="minorHAnsi" w:cs="Calibri"/>
                <w:i/>
                <w:color w:val="AEAAAA" w:themeColor="background2" w:themeShade="BF"/>
              </w:rPr>
              <w:t xml:space="preserve">For </w:t>
            </w:r>
            <w:r w:rsidRPr="009D5D02">
              <w:rPr>
                <w:rFonts w:asciiTheme="minorHAnsi" w:hAnsiTheme="minorHAnsi" w:cs="Calibri"/>
                <w:b/>
                <w:i/>
                <w:color w:val="AEAAAA" w:themeColor="background2" w:themeShade="BF"/>
              </w:rPr>
              <w:t>trans-national access</w:t>
            </w:r>
            <w:r w:rsidRPr="009D5D02">
              <w:rPr>
                <w:rFonts w:asciiTheme="minorHAnsi" w:hAnsiTheme="minorHAnsi" w:cs="Calibri"/>
                <w:i/>
                <w:color w:val="AEAAAA" w:themeColor="background2" w:themeShade="BF"/>
              </w:rPr>
              <w:t xml:space="preserve"> indicate the typical execution and duration of work (if access is provided ‘in person’, thus not remotely, indicated the estimated number of days spent at the infrastructure), and, where relevant, how the users will be integrated into the scheduling of the infrastructure and the degree of independence they will experience with respect to the normal research activity of the infrastructure.</w:t>
            </w:r>
            <w:r w:rsidRPr="009D5D02">
              <w:rPr>
                <w:rFonts w:asciiTheme="minorHAnsi" w:hAnsiTheme="minorHAnsi" w:cs="Calibri"/>
                <w:color w:val="AEAAAA" w:themeColor="background2" w:themeShade="BF"/>
              </w:rPr>
              <w:t xml:space="preserve"> </w:t>
            </w:r>
            <w:r w:rsidRPr="009D5D02">
              <w:rPr>
                <w:rFonts w:asciiTheme="minorHAnsi" w:hAnsiTheme="minorHAnsi" w:cs="Calibri"/>
                <w:i/>
                <w:color w:val="AEAAAA" w:themeColor="background2" w:themeShade="BF"/>
              </w:rPr>
              <w:t xml:space="preserve">Define clearly, for each installation, the </w:t>
            </w:r>
            <w:r w:rsidRPr="009D5D02">
              <w:rPr>
                <w:rFonts w:asciiTheme="minorHAnsi" w:hAnsiTheme="minorHAnsi" w:cs="Calibri"/>
                <w:b/>
                <w:i/>
                <w:color w:val="AEAAAA" w:themeColor="background2" w:themeShade="BF"/>
                <w:u w:val="single"/>
              </w:rPr>
              <w:t>unit of access</w:t>
            </w:r>
            <w:r w:rsidRPr="009D5D02">
              <w:rPr>
                <w:rFonts w:asciiTheme="minorHAnsi" w:hAnsiTheme="minorHAnsi" w:cs="Calibri"/>
                <w:i/>
                <w:color w:val="AEAAAA" w:themeColor="background2" w:themeShade="BF"/>
              </w:rPr>
              <w:t xml:space="preserve"> used to measure the access offered and indicate what is covered and included (e.g. preparatory work, specific training courses) in one unit. This is essential for monitoring the access provided under this project, but also to justify the corresponding costs. Indicate for each installation which modality will be used to declare access costs (on the basis of </w:t>
            </w:r>
            <w:r w:rsidRPr="009D5D02">
              <w:rPr>
                <w:rFonts w:asciiTheme="minorHAnsi" w:hAnsiTheme="minorHAnsi" w:cs="Calibri"/>
                <w:b/>
                <w:i/>
                <w:color w:val="AEAAAA" w:themeColor="background2" w:themeShade="BF"/>
              </w:rPr>
              <w:t>unit cost</w:t>
            </w:r>
            <w:r w:rsidRPr="009D5D02">
              <w:rPr>
                <w:rFonts w:asciiTheme="minorHAnsi" w:hAnsiTheme="minorHAnsi" w:cs="Calibri"/>
                <w:i/>
                <w:color w:val="AEAAAA" w:themeColor="background2" w:themeShade="BF"/>
              </w:rPr>
              <w:t>, as</w:t>
            </w:r>
            <w:r w:rsidRPr="009D5D02">
              <w:rPr>
                <w:rFonts w:asciiTheme="minorHAnsi" w:hAnsiTheme="minorHAnsi" w:cs="Calibri"/>
                <w:b/>
                <w:i/>
                <w:color w:val="AEAAAA" w:themeColor="background2" w:themeShade="BF"/>
              </w:rPr>
              <w:t xml:space="preserve"> actual cost</w:t>
            </w:r>
            <w:r w:rsidRPr="009D5D02">
              <w:rPr>
                <w:rFonts w:asciiTheme="minorHAnsi" w:hAnsiTheme="minorHAnsi" w:cs="Calibri"/>
                <w:i/>
                <w:color w:val="AEAAAA" w:themeColor="background2" w:themeShade="BF"/>
              </w:rPr>
              <w:t xml:space="preserve">, or as a </w:t>
            </w:r>
            <w:r w:rsidRPr="009D5D02">
              <w:rPr>
                <w:rFonts w:asciiTheme="minorHAnsi" w:hAnsiTheme="minorHAnsi" w:cs="Calibri"/>
                <w:b/>
                <w:i/>
                <w:color w:val="AEAAAA" w:themeColor="background2" w:themeShade="BF"/>
              </w:rPr>
              <w:t>combination</w:t>
            </w:r>
            <w:r w:rsidRPr="009D5D02">
              <w:rPr>
                <w:rFonts w:asciiTheme="minorHAnsi" w:hAnsiTheme="minorHAnsi" w:cs="Calibri"/>
                <w:i/>
                <w:color w:val="AEAAAA" w:themeColor="background2" w:themeShade="BF"/>
              </w:rPr>
              <w:t xml:space="preserve"> of the two) and justify your choice.</w:t>
            </w:r>
          </w:p>
          <w:p w14:paraId="5CA445D3" w14:textId="42AA6334" w:rsidR="00F23017" w:rsidRPr="007D030B" w:rsidRDefault="00F23017" w:rsidP="00037AB3">
            <w:pPr>
              <w:spacing w:before="60" w:after="60"/>
              <w:jc w:val="both"/>
              <w:rPr>
                <w:rFonts w:asciiTheme="minorHAnsi" w:hAnsiTheme="minorHAnsi" w:cs="Calibri"/>
                <w:i/>
                <w:color w:val="A8D08D" w:themeColor="accent6" w:themeTint="99"/>
              </w:rPr>
            </w:pPr>
            <w:r w:rsidRPr="00F23017">
              <w:rPr>
                <w:rFonts w:asciiTheme="minorHAnsi" w:hAnsiTheme="minorHAnsi" w:cs="Calibri"/>
                <w:iCs/>
              </w:rPr>
              <w:t>A written project proposal has to be submitted to the GSI/FAIR scientific director</w:t>
            </w:r>
            <w:r>
              <w:rPr>
                <w:rFonts w:asciiTheme="minorHAnsi" w:hAnsiTheme="minorHAnsi" w:cs="Calibri"/>
                <w:iCs/>
              </w:rPr>
              <w:t>ate</w:t>
            </w:r>
            <w:r w:rsidRPr="00F23017">
              <w:rPr>
                <w:rFonts w:asciiTheme="minorHAnsi" w:hAnsiTheme="minorHAnsi" w:cs="Calibri"/>
                <w:iCs/>
              </w:rPr>
              <w:t>, which is then reviewed by the international program advisory committee. Applications for TA have to be submitted separately. A user selection panel is evaluating those applications and attributing budget for T&amp;S.</w:t>
            </w:r>
            <w:r w:rsidR="005B3C8E">
              <w:rPr>
                <w:rFonts w:asciiTheme="minorHAnsi" w:hAnsiTheme="minorHAnsi" w:cs="Calibri"/>
                <w:iCs/>
              </w:rPr>
              <w:t xml:space="preserve"> </w:t>
            </w:r>
            <w:r w:rsidR="00DC4256">
              <w:rPr>
                <w:rFonts w:asciiTheme="minorHAnsi" w:hAnsiTheme="minorHAnsi" w:cs="Calibri"/>
                <w:iCs/>
              </w:rPr>
              <w:t xml:space="preserve">Support for travel, accommodation and subsistence will be provided for the on-site preparatory phase of an experiment (setting up detectors, tests and calibrations), the actual running time and the time for dismantling the set-up after the beam time. Typical access times are 5-14 days depending on the experimental installation. </w:t>
            </w:r>
            <w:r w:rsidR="007D030B">
              <w:rPr>
                <w:rFonts w:asciiTheme="minorHAnsi" w:hAnsiTheme="minorHAnsi" w:cs="Calibri"/>
                <w:iCs/>
              </w:rPr>
              <w:t xml:space="preserve">Beam time is granted in shifts (8 hours each). The unit of access is hours of beam time (which includes the time for set-up of the beam and the time for beam on target). </w:t>
            </w:r>
            <w:r w:rsidR="0028325A">
              <w:rPr>
                <w:rFonts w:asciiTheme="minorHAnsi" w:hAnsiTheme="minorHAnsi" w:cs="Calibri"/>
                <w:iCs/>
              </w:rPr>
              <w:t xml:space="preserve">The cost estimate contains the energy costs for running the GSI accelerators and the personnel and operation costs which are booked directly on the machine accounts. </w:t>
            </w:r>
            <w:r w:rsidR="0028325A">
              <w:rPr>
                <w:rFonts w:asciiTheme="minorHAnsi" w:hAnsiTheme="minorHAnsi" w:cs="Calibri"/>
                <w:iCs/>
              </w:rPr>
              <w:lastRenderedPageBreak/>
              <w:t>Since no operational costs for the FAIR accelerators are available, yet, only the GSI accelerator operation will be charged. The costs are based on historical data from beam times in 202</w:t>
            </w:r>
            <w:r w:rsidR="00C0343E">
              <w:rPr>
                <w:rFonts w:asciiTheme="minorHAnsi" w:hAnsiTheme="minorHAnsi" w:cs="Calibri"/>
                <w:iCs/>
              </w:rPr>
              <w:t>3</w:t>
            </w:r>
            <w:r w:rsidR="0028325A">
              <w:rPr>
                <w:rFonts w:asciiTheme="minorHAnsi" w:hAnsiTheme="minorHAnsi" w:cs="Calibri"/>
                <w:iCs/>
              </w:rPr>
              <w:t xml:space="preserve"> and 2024.</w:t>
            </w:r>
          </w:p>
          <w:p w14:paraId="66C8F615" w14:textId="7BB6DC54" w:rsidR="003C1805" w:rsidRPr="009D5D02" w:rsidRDefault="003C1805" w:rsidP="00037AB3">
            <w:pPr>
              <w:spacing w:before="60" w:after="60"/>
              <w:jc w:val="both"/>
              <w:rPr>
                <w:rFonts w:asciiTheme="minorHAnsi" w:hAnsiTheme="minorHAnsi" w:cs="Calibri"/>
                <w:i/>
                <w:color w:val="AEAAAA" w:themeColor="background2" w:themeShade="BF"/>
              </w:rPr>
            </w:pPr>
            <w:r w:rsidRPr="00854052">
              <w:rPr>
                <w:rFonts w:asciiTheme="minorHAnsi" w:hAnsiTheme="minorHAnsi" w:cs="Calibri"/>
                <w:iCs/>
                <w:u w:val="single"/>
              </w:rPr>
              <w:t>Support offered under this proposal:</w:t>
            </w:r>
            <w:r w:rsidRPr="00854052">
              <w:rPr>
                <w:rFonts w:asciiTheme="minorHAnsi" w:hAnsiTheme="minorHAnsi" w:cs="Calibri"/>
                <w:i/>
              </w:rPr>
              <w:t xml:space="preserve"> </w:t>
            </w:r>
            <w:r w:rsidRPr="009D5D02">
              <w:rPr>
                <w:rFonts w:asciiTheme="minorHAnsi" w:hAnsiTheme="minorHAnsi" w:cs="Calibri"/>
                <w:i/>
                <w:color w:val="AEAAAA" w:themeColor="background2" w:themeShade="BF"/>
              </w:rPr>
              <w:t xml:space="preserve">Describe the scientific, technical and, for trans-national access, logistic support that would be offered to the users. Where relevant, </w:t>
            </w:r>
            <w:r w:rsidRPr="009D5D02">
              <w:rPr>
                <w:rFonts w:asciiTheme="minorHAnsi" w:hAnsiTheme="minorHAnsi" w:cs="Calibri"/>
                <w:i/>
                <w:color w:val="AEAAAA" w:themeColor="background2" w:themeShade="BF"/>
                <w:lang w:val="en-GB"/>
              </w:rPr>
              <w:t>emphasise</w:t>
            </w:r>
            <w:r w:rsidRPr="009D5D02">
              <w:rPr>
                <w:rFonts w:asciiTheme="minorHAnsi" w:hAnsiTheme="minorHAnsi" w:cs="Calibri"/>
                <w:i/>
                <w:color w:val="AEAAAA" w:themeColor="background2" w:themeShade="BF"/>
              </w:rPr>
              <w:t xml:space="preserve"> the quality of the scientific environment in which the users will be working and explain how this might stimulate their research. Explain to what extent such support is already routinely provided to external users.</w:t>
            </w:r>
          </w:p>
          <w:p w14:paraId="46955FCA" w14:textId="27AC15F3" w:rsidR="003C1805" w:rsidRPr="005B3C8E" w:rsidRDefault="005B3C8E" w:rsidP="00037AB3">
            <w:pPr>
              <w:spacing w:before="60" w:after="60"/>
              <w:jc w:val="both"/>
              <w:rPr>
                <w:rFonts w:asciiTheme="minorHAnsi" w:hAnsiTheme="minorHAnsi" w:cs="Calibri"/>
                <w:iCs/>
              </w:rPr>
            </w:pPr>
            <w:r w:rsidRPr="005B3C8E">
              <w:rPr>
                <w:rFonts w:asciiTheme="minorHAnsi" w:hAnsiTheme="minorHAnsi" w:cs="Calibri"/>
                <w:iCs/>
              </w:rPr>
              <w:t xml:space="preserve">User groups will work as full members of the experimental team for </w:t>
            </w:r>
            <w:r>
              <w:rPr>
                <w:rFonts w:asciiTheme="minorHAnsi" w:hAnsiTheme="minorHAnsi" w:cs="Calibri"/>
                <w:iCs/>
              </w:rPr>
              <w:t xml:space="preserve">the time of </w:t>
            </w:r>
            <w:r w:rsidRPr="005B3C8E">
              <w:rPr>
                <w:rFonts w:asciiTheme="minorHAnsi" w:hAnsiTheme="minorHAnsi" w:cs="Calibri"/>
                <w:iCs/>
              </w:rPr>
              <w:t>their access. A contact person is assigned to each experimental project. This person provides scientific, technical and logistical</w:t>
            </w:r>
            <w:r>
              <w:rPr>
                <w:rFonts w:asciiTheme="minorHAnsi" w:hAnsiTheme="minorHAnsi" w:cs="Calibri"/>
                <w:iCs/>
              </w:rPr>
              <w:t xml:space="preserve"> </w:t>
            </w:r>
            <w:r w:rsidRPr="005B3C8E">
              <w:rPr>
                <w:rFonts w:asciiTheme="minorHAnsi" w:hAnsiTheme="minorHAnsi" w:cs="Calibri"/>
                <w:iCs/>
              </w:rPr>
              <w:t>support to set-up and to perform the experiment. Further support provided by GSI includes: office space and access</w:t>
            </w:r>
            <w:r>
              <w:rPr>
                <w:rFonts w:asciiTheme="minorHAnsi" w:hAnsiTheme="minorHAnsi" w:cs="Calibri"/>
                <w:iCs/>
              </w:rPr>
              <w:t xml:space="preserve"> </w:t>
            </w:r>
            <w:r w:rsidRPr="005B3C8E">
              <w:rPr>
                <w:rFonts w:asciiTheme="minorHAnsi" w:hAnsiTheme="minorHAnsi" w:cs="Calibri"/>
                <w:iCs/>
              </w:rPr>
              <w:t>to the GSI computing facilities; training courses and briefings on the general safety regulations at GSI and on the</w:t>
            </w:r>
            <w:r>
              <w:rPr>
                <w:rFonts w:asciiTheme="minorHAnsi" w:hAnsiTheme="minorHAnsi" w:cs="Calibri"/>
                <w:iCs/>
              </w:rPr>
              <w:t xml:space="preserve"> </w:t>
            </w:r>
            <w:r w:rsidRPr="005B3C8E">
              <w:rPr>
                <w:rFonts w:asciiTheme="minorHAnsi" w:hAnsiTheme="minorHAnsi" w:cs="Calibri"/>
                <w:iCs/>
              </w:rPr>
              <w:t>specific regulations at the experimental facilities; access to the GSI detector and target laboratories, as well as</w:t>
            </w:r>
            <w:r>
              <w:rPr>
                <w:rFonts w:asciiTheme="minorHAnsi" w:hAnsiTheme="minorHAnsi" w:cs="Calibri"/>
                <w:iCs/>
              </w:rPr>
              <w:t xml:space="preserve"> </w:t>
            </w:r>
            <w:r w:rsidRPr="005B3C8E">
              <w:rPr>
                <w:rFonts w:asciiTheme="minorHAnsi" w:hAnsiTheme="minorHAnsi" w:cs="Calibri"/>
                <w:iCs/>
              </w:rPr>
              <w:t>access to a maintained workshop for experimentalists and assistance from the GSI general mechanics shops; the</w:t>
            </w:r>
            <w:r>
              <w:rPr>
                <w:rFonts w:asciiTheme="minorHAnsi" w:hAnsiTheme="minorHAnsi" w:cs="Calibri"/>
                <w:iCs/>
              </w:rPr>
              <w:t xml:space="preserve"> </w:t>
            </w:r>
            <w:r w:rsidRPr="005B3C8E">
              <w:rPr>
                <w:rFonts w:asciiTheme="minorHAnsi" w:hAnsiTheme="minorHAnsi" w:cs="Calibri"/>
                <w:iCs/>
              </w:rPr>
              <w:t>GSI Welcome Office is providing logistic support with regard to accommodation, travel and payments; bus shuttle</w:t>
            </w:r>
            <w:r>
              <w:rPr>
                <w:rFonts w:asciiTheme="minorHAnsi" w:hAnsiTheme="minorHAnsi" w:cs="Calibri"/>
                <w:iCs/>
              </w:rPr>
              <w:t xml:space="preserve"> f</w:t>
            </w:r>
            <w:r w:rsidRPr="005B3C8E">
              <w:rPr>
                <w:rFonts w:asciiTheme="minorHAnsi" w:hAnsiTheme="minorHAnsi" w:cs="Calibri"/>
                <w:iCs/>
              </w:rPr>
              <w:t>rom the nearby train and tram stations</w:t>
            </w:r>
            <w:r>
              <w:rPr>
                <w:rFonts w:asciiTheme="minorHAnsi" w:hAnsiTheme="minorHAnsi" w:cs="Calibri"/>
                <w:iCs/>
              </w:rPr>
              <w:t xml:space="preserve"> is available</w:t>
            </w:r>
            <w:r w:rsidRPr="005B3C8E">
              <w:rPr>
                <w:rFonts w:asciiTheme="minorHAnsi" w:hAnsiTheme="minorHAnsi" w:cs="Calibri"/>
                <w:iCs/>
              </w:rPr>
              <w:t xml:space="preserve">; lodging facilities </w:t>
            </w:r>
            <w:r>
              <w:rPr>
                <w:rFonts w:asciiTheme="minorHAnsi" w:hAnsiTheme="minorHAnsi" w:cs="Calibri"/>
                <w:iCs/>
              </w:rPr>
              <w:t xml:space="preserve">are </w:t>
            </w:r>
            <w:r w:rsidRPr="005B3C8E">
              <w:rPr>
                <w:rFonts w:asciiTheme="minorHAnsi" w:hAnsiTheme="minorHAnsi" w:cs="Calibri"/>
                <w:iCs/>
              </w:rPr>
              <w:t>in walking distance from the institute</w:t>
            </w:r>
            <w:r>
              <w:rPr>
                <w:rFonts w:asciiTheme="minorHAnsi" w:hAnsiTheme="minorHAnsi" w:cs="Calibri"/>
                <w:iCs/>
              </w:rPr>
              <w:t>, bicycles are provided.</w:t>
            </w:r>
          </w:p>
          <w:p w14:paraId="6B88B241" w14:textId="77777777" w:rsidR="003C1805" w:rsidRPr="009D5D02" w:rsidRDefault="003C1805" w:rsidP="00037AB3">
            <w:pPr>
              <w:spacing w:before="60" w:after="60"/>
              <w:jc w:val="both"/>
              <w:rPr>
                <w:rFonts w:asciiTheme="minorHAnsi" w:hAnsiTheme="minorHAnsi" w:cs="Calibri"/>
                <w:i/>
                <w:color w:val="AEAAAA" w:themeColor="background2" w:themeShade="BF"/>
              </w:rPr>
            </w:pPr>
            <w:r w:rsidRPr="00854052">
              <w:rPr>
                <w:rFonts w:asciiTheme="minorHAnsi" w:hAnsiTheme="minorHAnsi" w:cs="Calibri"/>
                <w:iCs/>
                <w:u w:val="single"/>
              </w:rPr>
              <w:t>Outreach to new users:</w:t>
            </w:r>
            <w:r w:rsidRPr="00854052">
              <w:rPr>
                <w:rFonts w:asciiTheme="minorHAnsi" w:hAnsiTheme="minorHAnsi" w:cs="Calibri"/>
                <w:i/>
              </w:rPr>
              <w:t xml:space="preserve"> </w:t>
            </w:r>
            <w:r w:rsidRPr="009D5D02">
              <w:rPr>
                <w:rFonts w:asciiTheme="minorHAnsi" w:hAnsiTheme="minorHAnsi" w:cs="Calibri"/>
                <w:i/>
                <w:color w:val="AEAAAA" w:themeColor="background2" w:themeShade="BF"/>
              </w:rPr>
              <w:t>State what measures are taken to attract new potential users (e.g. web page, call for proposals, etc.), including specific user groups such as users coming from SMEs or representing new areas of research, if appropriate. Indicate why and to which extent the EU funding of this trans-national and/or virtual access activity will provide European research teams with new opportunities of access to the infrastructure. Indicate whether the number of trans-national and/or virtual users is expected to increase as a result of this proposal, and how you will monitor such an increase. If trans-national access to the infrastructure is being opened to users other than those from the host country of the infrastructure for the first time, what evidence is there that there will be sufficient demand for the access offered under this proposal?</w:t>
            </w:r>
          </w:p>
          <w:p w14:paraId="762B5AB3" w14:textId="64C26E45" w:rsidR="003C1805" w:rsidRPr="005B3C8E" w:rsidRDefault="002A0D28" w:rsidP="00037AB3">
            <w:pPr>
              <w:spacing w:before="60" w:after="60"/>
              <w:jc w:val="both"/>
              <w:rPr>
                <w:rFonts w:asciiTheme="minorHAnsi" w:hAnsiTheme="minorHAnsi" w:cs="Calibri"/>
                <w:iCs/>
              </w:rPr>
            </w:pPr>
            <w:r>
              <w:rPr>
                <w:rFonts w:asciiTheme="minorHAnsi" w:hAnsiTheme="minorHAnsi" w:cs="Calibri"/>
                <w:iCs/>
              </w:rPr>
              <w:t xml:space="preserve">A dedicated TA web portal with detailed technical information on each installation, access procedures, safety requirements, and schedules for proposal submission will be set-up. The regular open calls for proposals and funding applications will be widely disseminated through various networks and accelerator science mailing lists, and advertised at large European conferences. Specific target groups are underrepresented EU regions with limited prior access to large-scale infrastructures, and new groups in the larger NUSTAR, CBM and APPA communities. Special emphasis will be put on early career researchers to enable their participation in high-complexity experiments at GSI and FAIR. </w:t>
            </w:r>
            <w:r w:rsidR="007D030B">
              <w:rPr>
                <w:rFonts w:asciiTheme="minorHAnsi" w:hAnsiTheme="minorHAnsi" w:cs="Calibri"/>
                <w:iCs/>
              </w:rPr>
              <w:t xml:space="preserve">GSI/FAIR has received 3-5 times more proposals than available beam slots in recent calls, in particular for studies at the ESR. showing the high demand for the GSI facilities. </w:t>
            </w:r>
          </w:p>
          <w:p w14:paraId="7843853A" w14:textId="77777777" w:rsidR="003C1805" w:rsidRPr="00854052" w:rsidRDefault="003C1805" w:rsidP="00037AB3">
            <w:pPr>
              <w:spacing w:before="60" w:after="60"/>
              <w:jc w:val="both"/>
              <w:rPr>
                <w:rFonts w:asciiTheme="minorHAnsi" w:hAnsiTheme="minorHAnsi" w:cs="Calibri"/>
                <w:i/>
              </w:rPr>
            </w:pPr>
            <w:r w:rsidRPr="00854052">
              <w:rPr>
                <w:rFonts w:asciiTheme="minorHAnsi" w:hAnsiTheme="minorHAnsi" w:cs="Calibri"/>
                <w:iCs/>
                <w:u w:val="single"/>
              </w:rPr>
              <w:t>Review procedure under this proposal:</w:t>
            </w:r>
            <w:r w:rsidRPr="00854052">
              <w:rPr>
                <w:rFonts w:asciiTheme="minorHAnsi" w:hAnsiTheme="minorHAnsi" w:cs="Calibri"/>
                <w:i/>
              </w:rPr>
              <w:t xml:space="preserve"> </w:t>
            </w:r>
            <w:r w:rsidRPr="009D5D02">
              <w:rPr>
                <w:rFonts w:asciiTheme="minorHAnsi" w:hAnsiTheme="minorHAnsi" w:cs="Calibri"/>
                <w:i/>
                <w:color w:val="AEAAAA" w:themeColor="background2" w:themeShade="BF"/>
              </w:rPr>
              <w:t>For trans-national access activities, describe the peer review procedure that will be used to select users under this proposal. Outline the composition of the User Selection Panel. Demonstrate that the selection of users will follow the principles of transparency, fairness and impartiality. As the selection will be based on the evaluation of scientific merit of the applications, but with priority to new users and users coming from cou</w:t>
            </w:r>
            <w:bookmarkStart w:id="0" w:name="_GoBack"/>
            <w:bookmarkEnd w:id="0"/>
            <w:r w:rsidRPr="009D5D02">
              <w:rPr>
                <w:rFonts w:asciiTheme="minorHAnsi" w:hAnsiTheme="minorHAnsi" w:cs="Calibri"/>
                <w:i/>
                <w:color w:val="AEAAAA" w:themeColor="background2" w:themeShade="BF"/>
              </w:rPr>
              <w:t>ntries where such infrastructure is not available, indicate any additional selection rule that you would like to add.</w:t>
            </w:r>
          </w:p>
          <w:p w14:paraId="6AB18402" w14:textId="06BC5038" w:rsidR="0028325A" w:rsidRPr="0028325A" w:rsidRDefault="0028325A" w:rsidP="0028325A">
            <w:pPr>
              <w:spacing w:before="60" w:after="60"/>
              <w:jc w:val="both"/>
              <w:rPr>
                <w:rFonts w:asciiTheme="minorHAnsi" w:hAnsiTheme="minorHAnsi" w:cs="Calibri"/>
                <w:lang w:val="en-GB"/>
              </w:rPr>
            </w:pPr>
            <w:r w:rsidRPr="0028325A">
              <w:rPr>
                <w:rFonts w:asciiTheme="minorHAnsi" w:hAnsiTheme="minorHAnsi" w:cs="Calibri"/>
                <w:lang w:val="en-GB"/>
              </w:rPr>
              <w:t>Applications for experiments at the accelerator facilities are submitted by user groups through Calls for Proposals. Information on the submission procedure can be found on the websites of the respective Program Advisory Committees (PACs), which are established for different scientific fields and staffed with external experts (see www.gsi.de/pac). These committees review the submitted proposals and provide recommendations for the allocation of beam time. The final decision on the approval of beam time is made by the Scientific Director of GSI based on these recommendations.</w:t>
            </w:r>
            <w:r>
              <w:rPr>
                <w:rFonts w:asciiTheme="minorHAnsi" w:hAnsiTheme="minorHAnsi" w:cs="Calibri"/>
                <w:lang w:val="en-GB"/>
              </w:rPr>
              <w:t xml:space="preserve"> Applications for funding in the framework of TA have to be provided separately. The eligibility of the user group is checked by the TA coordinator and the T&amp;S is granted by a user selection panel, consisting out of members of the respective PACs. </w:t>
            </w:r>
            <w:r w:rsidR="00BB6CE9">
              <w:rPr>
                <w:rFonts w:asciiTheme="minorHAnsi" w:hAnsiTheme="minorHAnsi" w:cs="Calibri"/>
                <w:lang w:val="en-GB"/>
              </w:rPr>
              <w:t xml:space="preserve">Special emphasis is put on new user groups and early career researchers. </w:t>
            </w:r>
          </w:p>
          <w:p w14:paraId="37224161" w14:textId="77777777" w:rsidR="0028325A" w:rsidRPr="0028325A" w:rsidRDefault="0028325A" w:rsidP="0028325A">
            <w:pPr>
              <w:spacing w:before="60" w:after="60"/>
              <w:jc w:val="both"/>
              <w:rPr>
                <w:rFonts w:asciiTheme="minorHAnsi" w:hAnsiTheme="minorHAnsi" w:cs="Calibri"/>
                <w:lang w:val="en-GB"/>
              </w:rPr>
            </w:pPr>
          </w:p>
          <w:p w14:paraId="2A3C9725" w14:textId="77777777" w:rsidR="003C1805" w:rsidRPr="00854052" w:rsidRDefault="003C1805" w:rsidP="00037AB3">
            <w:pPr>
              <w:spacing w:before="60" w:after="60"/>
              <w:rPr>
                <w:rFonts w:asciiTheme="minorHAnsi" w:hAnsiTheme="minorHAnsi" w:cs="Calibri"/>
                <w:lang w:val="en-GB"/>
              </w:rPr>
            </w:pPr>
          </w:p>
          <w:p w14:paraId="717F3783" w14:textId="77777777" w:rsidR="003C1805" w:rsidRPr="00854052" w:rsidRDefault="003C1805" w:rsidP="00037AB3">
            <w:pPr>
              <w:spacing w:before="60" w:after="60"/>
              <w:rPr>
                <w:rFonts w:asciiTheme="minorHAnsi" w:hAnsiTheme="minorHAnsi" w:cs="Calibri"/>
                <w:lang w:val="en-GB"/>
              </w:rPr>
            </w:pPr>
          </w:p>
        </w:tc>
      </w:tr>
    </w:tbl>
    <w:p w14:paraId="5CBCC845" w14:textId="77777777" w:rsidR="007E530E" w:rsidRDefault="009D5D02"/>
    <w:sectPr w:rsidR="007E530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37A4B8" w14:textId="77777777" w:rsidR="00236022" w:rsidRDefault="00236022" w:rsidP="00C0343E">
      <w:r>
        <w:separator/>
      </w:r>
    </w:p>
  </w:endnote>
  <w:endnote w:type="continuationSeparator" w:id="0">
    <w:p w14:paraId="7A46BD6C" w14:textId="77777777" w:rsidR="00236022" w:rsidRDefault="00236022" w:rsidP="00C034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EC Square Sans Pro">
    <w:altName w:val="Calibri"/>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E33B44" w14:textId="77777777" w:rsidR="00236022" w:rsidRDefault="00236022" w:rsidP="00C0343E">
      <w:r>
        <w:separator/>
      </w:r>
    </w:p>
  </w:footnote>
  <w:footnote w:type="continuationSeparator" w:id="0">
    <w:p w14:paraId="4E25A47B" w14:textId="77777777" w:rsidR="00236022" w:rsidRDefault="00236022" w:rsidP="00C034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483B36"/>
    <w:multiLevelType w:val="hybridMultilevel"/>
    <w:tmpl w:val="6CEE87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C8D79CE"/>
    <w:multiLevelType w:val="hybridMultilevel"/>
    <w:tmpl w:val="3B20C2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807404F"/>
    <w:multiLevelType w:val="hybridMultilevel"/>
    <w:tmpl w:val="8E3E7B8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15:restartNumberingAfterBreak="0">
    <w:nsid w:val="7D655CEE"/>
    <w:multiLevelType w:val="hybridMultilevel"/>
    <w:tmpl w:val="D0E434C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1805"/>
    <w:rsid w:val="00124874"/>
    <w:rsid w:val="00236022"/>
    <w:rsid w:val="0028325A"/>
    <w:rsid w:val="002A0D28"/>
    <w:rsid w:val="002E0AFF"/>
    <w:rsid w:val="003C1805"/>
    <w:rsid w:val="004338E3"/>
    <w:rsid w:val="005A6F5C"/>
    <w:rsid w:val="005B3C8E"/>
    <w:rsid w:val="005F30FA"/>
    <w:rsid w:val="006713F3"/>
    <w:rsid w:val="006E15FE"/>
    <w:rsid w:val="007D030B"/>
    <w:rsid w:val="009D5D02"/>
    <w:rsid w:val="00B25518"/>
    <w:rsid w:val="00B54E81"/>
    <w:rsid w:val="00BB6CE9"/>
    <w:rsid w:val="00C0343E"/>
    <w:rsid w:val="00D532A4"/>
    <w:rsid w:val="00DC4256"/>
    <w:rsid w:val="00F105C1"/>
    <w:rsid w:val="00F23017"/>
    <w:rsid w:val="00F676EA"/>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8BD32"/>
  <w15:chartTrackingRefBased/>
  <w15:docId w15:val="{3DD94526-F982-4345-AD05-E621AFF58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uiPriority w:val="1"/>
    <w:qFormat/>
    <w:rsid w:val="003C1805"/>
    <w:pPr>
      <w:widowControl w:val="0"/>
      <w:spacing w:after="0" w:line="240" w:lineRule="auto"/>
    </w:pPr>
    <w:rPr>
      <w:rFonts w:ascii="EC Square Sans Pro" w:eastAsia="Times New Roman" w:hAnsi="EC Square Sans Pro" w:cs="Verdana"/>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5A6F5C"/>
    <w:pPr>
      <w:ind w:left="720"/>
      <w:contextualSpacing/>
    </w:pPr>
  </w:style>
  <w:style w:type="character" w:styleId="Hyperlink">
    <w:name w:val="Hyperlink"/>
    <w:basedOn w:val="Absatz-Standardschriftart"/>
    <w:uiPriority w:val="99"/>
    <w:unhideWhenUsed/>
    <w:rsid w:val="00F23017"/>
    <w:rPr>
      <w:color w:val="0563C1" w:themeColor="hyperlink"/>
      <w:u w:val="single"/>
    </w:rPr>
  </w:style>
  <w:style w:type="character" w:customStyle="1" w:styleId="UnresolvedMention">
    <w:name w:val="Unresolved Mention"/>
    <w:basedOn w:val="Absatz-Standardschriftart"/>
    <w:uiPriority w:val="99"/>
    <w:semiHidden/>
    <w:unhideWhenUsed/>
    <w:rsid w:val="00F23017"/>
    <w:rPr>
      <w:color w:val="605E5C"/>
      <w:shd w:val="clear" w:color="auto" w:fill="E1DFDD"/>
    </w:rPr>
  </w:style>
  <w:style w:type="paragraph" w:styleId="Kopfzeile">
    <w:name w:val="header"/>
    <w:basedOn w:val="Standard"/>
    <w:link w:val="KopfzeileZchn"/>
    <w:uiPriority w:val="99"/>
    <w:unhideWhenUsed/>
    <w:rsid w:val="00C0343E"/>
    <w:pPr>
      <w:tabs>
        <w:tab w:val="center" w:pos="4536"/>
        <w:tab w:val="right" w:pos="9072"/>
      </w:tabs>
    </w:pPr>
  </w:style>
  <w:style w:type="character" w:customStyle="1" w:styleId="KopfzeileZchn">
    <w:name w:val="Kopfzeile Zchn"/>
    <w:basedOn w:val="Absatz-Standardschriftart"/>
    <w:link w:val="Kopfzeile"/>
    <w:uiPriority w:val="99"/>
    <w:rsid w:val="00C0343E"/>
    <w:rPr>
      <w:rFonts w:ascii="EC Square Sans Pro" w:eastAsia="Times New Roman" w:hAnsi="EC Square Sans Pro" w:cs="Verdana"/>
      <w:lang w:val="en-US"/>
    </w:rPr>
  </w:style>
  <w:style w:type="paragraph" w:styleId="Fuzeile">
    <w:name w:val="footer"/>
    <w:basedOn w:val="Standard"/>
    <w:link w:val="FuzeileZchn"/>
    <w:uiPriority w:val="99"/>
    <w:unhideWhenUsed/>
    <w:rsid w:val="00C0343E"/>
    <w:pPr>
      <w:tabs>
        <w:tab w:val="center" w:pos="4536"/>
        <w:tab w:val="right" w:pos="9072"/>
      </w:tabs>
    </w:pPr>
  </w:style>
  <w:style w:type="character" w:customStyle="1" w:styleId="FuzeileZchn">
    <w:name w:val="Fußzeile Zchn"/>
    <w:basedOn w:val="Absatz-Standardschriftart"/>
    <w:link w:val="Fuzeile"/>
    <w:uiPriority w:val="99"/>
    <w:rsid w:val="00C0343E"/>
    <w:rPr>
      <w:rFonts w:ascii="EC Square Sans Pro" w:eastAsia="Times New Roman" w:hAnsi="EC Square Sans Pro" w:cs="Verdan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si.de/en/work/organisa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1815</Words>
  <Characters>11440</Characters>
  <Application>Microsoft Office Word</Application>
  <DocSecurity>0</DocSecurity>
  <Lines>95</Lines>
  <Paragraphs>26</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SUBATECH</Company>
  <LinksUpToDate>false</LinksUpToDate>
  <CharactersWithSpaces>13229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Emine AMETSHAEVA</dc:creator>
  <cp:keywords/>
  <dc:description/>
  <cp:lastModifiedBy>Ivanova, Oxana Dr.</cp:lastModifiedBy>
  <cp:revision>3</cp:revision>
  <dcterms:created xsi:type="dcterms:W3CDTF">2025-08-19T15:54:00Z</dcterms:created>
  <dcterms:modified xsi:type="dcterms:W3CDTF">2025-08-19T16:05:00Z</dcterms:modified>
</cp:coreProperties>
</file>