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96F1" w14:textId="11DB0C30" w:rsidR="00566759" w:rsidRDefault="00566759" w:rsidP="00566759">
      <w:pPr>
        <w:pStyle w:val="Title"/>
      </w:pPr>
      <w:r>
        <w:t>VA-PWA</w:t>
      </w:r>
      <w:r>
        <w:br/>
        <w:t xml:space="preserve">Virtual Access for Partial Wave Analysis </w:t>
      </w:r>
    </w:p>
    <w:p w14:paraId="3E659F23" w14:textId="7CBA5DBA" w:rsidR="00566759" w:rsidRPr="00566759" w:rsidRDefault="00566759" w:rsidP="00566759">
      <w:pPr>
        <w:pStyle w:val="Heading1"/>
      </w:pPr>
      <w:r w:rsidRPr="00566759">
        <w:t>Physi</w:t>
      </w:r>
      <w:r>
        <w:t>cs</w:t>
      </w:r>
      <w:r w:rsidRPr="00566759">
        <w:t xml:space="preserve"> background</w:t>
      </w:r>
    </w:p>
    <w:p w14:paraId="5B96CE11" w14:textId="77777777" w:rsidR="00566759" w:rsidRPr="00566759" w:rsidRDefault="00566759" w:rsidP="00566759"/>
    <w:p w14:paraId="51DE744E" w14:textId="6771C2F0" w:rsidR="00566759" w:rsidRPr="00566759" w:rsidRDefault="00566759" w:rsidP="00566759">
      <w:r w:rsidRPr="00566759">
        <w:t>The study of exclusive hadronic processes is of great importance in flavor physics,</w:t>
      </w:r>
      <w:r>
        <w:t xml:space="preserve"> </w:t>
      </w:r>
      <w:r w:rsidRPr="00566759">
        <w:t>particularly for elucidating CP violation and for quantifying hadronic contributions crucial for precision measurements.</w:t>
      </w:r>
      <w:r>
        <w:t xml:space="preserve"> </w:t>
      </w:r>
      <w:r w:rsidRPr="00566759">
        <w:t>The exploration of hadronic multi-body processes often relies on disentangling contributions of subchannel resonances, detailed by hadron spectroscopy.</w:t>
      </w:r>
      <w:r>
        <w:t xml:space="preserve"> </w:t>
      </w:r>
      <w:r w:rsidRPr="00566759">
        <w:t>The field itself is extremely vibrant, rich with complex phenomena and a significant rate of new discoveries such as exotic states of matter, multiquark states, and hadronic molecules.</w:t>
      </w:r>
    </w:p>
    <w:p w14:paraId="3637151F" w14:textId="2EF06AFB" w:rsidR="00566759" w:rsidRPr="00566759" w:rsidRDefault="00566759" w:rsidP="00566759">
      <w:r w:rsidRPr="00566759">
        <w:t>A primary analysis tool in this domain is the partial-wave expansion of decay matrix elements.</w:t>
      </w:r>
      <w:r>
        <w:t xml:space="preserve"> </w:t>
      </w:r>
      <w:r w:rsidRPr="00566759">
        <w:t>Partial-Wave Analysis (PWA) decomposes complex decays into a set of cascades of two-body transitions, exploiting the fact that the spin and parity quantum numbers of intermediate states are unambiguously and model-independently determined by the angular distributions of the decay products.</w:t>
      </w:r>
      <w:r>
        <w:t xml:space="preserve"> </w:t>
      </w:r>
      <w:r w:rsidRPr="00566759">
        <w:t>This technique stands as a cornerstone of modern hadron physics, as it offers the only reliable method for disentangling overlapping hadronic resonances. Its application, however, remains a highly non-trivial undertaking.</w:t>
      </w:r>
    </w:p>
    <w:p w14:paraId="7A32136F" w14:textId="77777777" w:rsidR="00566759" w:rsidRPr="00566759" w:rsidRDefault="00566759" w:rsidP="00566759"/>
    <w:p w14:paraId="6E208CF9" w14:textId="386EE885" w:rsidR="00566759" w:rsidRPr="00566759" w:rsidRDefault="00566759" w:rsidP="00566759">
      <w:r w:rsidRPr="00566759">
        <w:t>Recent collaborative efforts by research groups in Bonn and</w:t>
      </w:r>
      <w:r>
        <w:t xml:space="preserve"> </w:t>
      </w:r>
      <w:r w:rsidRPr="00566759">
        <w:t>Bochum</w:t>
      </w:r>
      <w:r>
        <w:t xml:space="preserve"> (</w:t>
      </w:r>
      <w:r w:rsidRPr="00566759">
        <w:t>https://doi.org/10.1103/PhysRevD.111.056015</w:t>
      </w:r>
      <w:r>
        <w:t>)</w:t>
      </w:r>
      <w:r w:rsidRPr="00566759">
        <w:t xml:space="preserve"> have achieved a significant milestone by establishing a consistent and comprehensive framework within the helicity formalism for describing hadronic systems of arbitrary complexity. This technical advancement extends beyond previously tractable analytic cases, such as two-body and three-body systems, by proposing, implementing, and validating a numerical algorithm applicable to the most general exclusive decays. Furthermore, this development has unified various </w:t>
      </w:r>
      <w:r w:rsidRPr="00566759">
        <w:t>widely used</w:t>
      </w:r>
      <w:r w:rsidRPr="00566759">
        <w:t xml:space="preserve"> branches of the helicity formalism, including plain and canonical representations, and reconciled different phase conventions.</w:t>
      </w:r>
    </w:p>
    <w:p w14:paraId="71CD0BD7" w14:textId="77777777" w:rsidR="00566759" w:rsidRPr="00566759" w:rsidRDefault="00566759" w:rsidP="00566759"/>
    <w:p w14:paraId="624C19C9" w14:textId="52B3AC3A" w:rsidR="00566759" w:rsidRPr="00566759" w:rsidRDefault="00566759" w:rsidP="00566759">
      <w:pPr>
        <w:pStyle w:val="Heading1"/>
      </w:pPr>
      <w:r w:rsidRPr="00566759">
        <w:lastRenderedPageBreak/>
        <w:t>The platform project</w:t>
      </w:r>
    </w:p>
    <w:p w14:paraId="1C861667" w14:textId="77777777" w:rsidR="00566759" w:rsidRPr="00566759" w:rsidRDefault="00566759" w:rsidP="00566759"/>
    <w:p w14:paraId="5F1633D9" w14:textId="77777777" w:rsidR="00566759" w:rsidRPr="00566759" w:rsidRDefault="00566759" w:rsidP="00566759">
      <w:r w:rsidRPr="00566759">
        <w:t>We propose to lower entry barriers for amplitude analysis with a user-friendly web platform that guides users through constructing amplitudes for arbitrary decay processes, validates configurations in real time, and integrates Particle Data Group (PDG) data for particle and resonance quantum numbers. Users define decay chains by specifying initial and final states and inserting resonances; configurations are exportable in human- and machine-readable formats for reproducibility and downstream integration.</w:t>
      </w:r>
    </w:p>
    <w:p w14:paraId="3CB62503" w14:textId="5A9865E6" w:rsidR="00566759" w:rsidRPr="00566759" w:rsidRDefault="00566759" w:rsidP="00566759">
      <w:r w:rsidRPr="00566759">
        <w:t>The backend will support on-demand code generation, initially targeting Python; we will extend support to the existing J</w:t>
      </w:r>
      <w:proofErr w:type="spellStart"/>
      <w:r w:rsidRPr="00566759">
        <w:t>ulia e</w:t>
      </w:r>
      <w:proofErr w:type="spellEnd"/>
      <w:r w:rsidRPr="00566759">
        <w:t>cosystem and C++ routines. Comprehensive documentation will explain how to integrate additional frameworks using a standardized intermediate representation to ensure broad applicability.</w:t>
      </w:r>
      <w:r>
        <w:t xml:space="preserve"> </w:t>
      </w:r>
      <w:r w:rsidRPr="00566759">
        <w:t>We have prototyped the essential backend capabilities: the current version can generate a simple executable amplitude code in Python. It is currently deployed on minimal cloud infrastructure; substantial engineering is planned to reach production readiness.</w:t>
      </w:r>
    </w:p>
    <w:p w14:paraId="1F45FA19" w14:textId="77777777" w:rsidR="00566759" w:rsidRDefault="00566759" w:rsidP="00566759">
      <w:r w:rsidRPr="00566759">
        <w:t>Access will be provided via the web. The initial service will be open without authentication; as demand grows, we might introduce ORCID-based sign-in.</w:t>
      </w:r>
      <w:r>
        <w:t xml:space="preserve"> </w:t>
      </w:r>
    </w:p>
    <w:p w14:paraId="2522C74C" w14:textId="238A1A13" w:rsidR="00566759" w:rsidRPr="00566759" w:rsidRDefault="00566759" w:rsidP="00566759">
      <w:r w:rsidRPr="00566759">
        <w:t>For planning and reporting, the unit of access (UA) is defined as one validated amplitude configuration exported by a user session. A single session may produce multiple UAs; monitoring will rely on uniquely identified exports recorded by the service. The operational envelope covers hosting and compute for code generation, persistent storage of export artifacts and logs, routine maintenance and updates, and user support via an issue tracker and a Slack/</w:t>
      </w:r>
      <w:proofErr w:type="spellStart"/>
      <w:r w:rsidRPr="00566759">
        <w:t>Mattermost</w:t>
      </w:r>
      <w:proofErr w:type="spellEnd"/>
      <w:r w:rsidRPr="00566759">
        <w:t xml:space="preserve"> channel.</w:t>
      </w:r>
    </w:p>
    <w:p w14:paraId="56A71E51" w14:textId="04170580" w:rsidR="00566759" w:rsidRPr="00566759" w:rsidRDefault="00566759" w:rsidP="00566759">
      <w:r w:rsidRPr="00566759">
        <w:t>We will provide scientific and technical support through (</w:t>
      </w:r>
      <w:proofErr w:type="spellStart"/>
      <w:r w:rsidRPr="00566759">
        <w:t>i</w:t>
      </w:r>
      <w:proofErr w:type="spellEnd"/>
      <w:r w:rsidRPr="00566759">
        <w:t>) integrated checks and descriptive error messages during configuration; (ii) online documentation of the workflow and API; (iii) community examples and templates; (iv) a helpdesk channel (issue tracker and Slack/</w:t>
      </w:r>
      <w:proofErr w:type="spellStart"/>
      <w:r w:rsidRPr="00566759">
        <w:t>Mattermost</w:t>
      </w:r>
      <w:proofErr w:type="spellEnd"/>
      <w:r w:rsidRPr="00566759">
        <w:t xml:space="preserve">); and (v) scheduled training workshops with hands-on exercises using real experimental use cases (LHCb, BESIII, COMPASS, GlueX, </w:t>
      </w:r>
      <w:proofErr w:type="spellStart"/>
      <w:r w:rsidRPr="00566759">
        <w:t>Belle~II</w:t>
      </w:r>
      <w:proofErr w:type="spellEnd"/>
      <w:r w:rsidRPr="00566759">
        <w:t>). The proponents routinely support external collaborators in amplitude analysis and will formalize this into public-facing documentation and tutorials.</w:t>
      </w:r>
    </w:p>
    <w:p w14:paraId="74B3BDC5" w14:textId="023AB4A1" w:rsidR="00566759" w:rsidRPr="00566759" w:rsidRDefault="00566759" w:rsidP="00566759">
      <w:r w:rsidRPr="00566759">
        <w:t xml:space="preserve">Outreach will leverage a public website, announcements via experiment forums and seminars, and targeted communication to early-career researchers. We will engage experiments for which amplitude analyses are central and invite contributions from framework developers and phenomenology experts. EU funding will enable a stable, open </w:t>
      </w:r>
      <w:r w:rsidRPr="00566759">
        <w:lastRenderedPageBreak/>
        <w:t>portal with training materials and code-generation capabilities, lowering entry barriers for groups without preexisting tooling.</w:t>
      </w:r>
    </w:p>
    <w:p w14:paraId="1DF2251D" w14:textId="21302FA6" w:rsidR="00566759" w:rsidRPr="00566759" w:rsidRDefault="00566759" w:rsidP="00566759">
      <w:r w:rsidRPr="00566759">
        <w:t>Growth in the virtual user base will be monitored via privacy-preserving usage analytics and counts of unique UAs, with periodic reports summarizing adoption and geographic distribution. Service quality and scientific adequacy will be assessed through quarterly internal reviews of platform metrics and user feedback, and an annual external review evaluating functionality, robustness, documentation quality, and community uptake. Findings and actions will be captured in assessment notes and included within the documentation deliverable (D3.3) and periodic project reports.</w:t>
      </w:r>
    </w:p>
    <w:p w14:paraId="6FD39512" w14:textId="46AFF65F" w:rsidR="00566759" w:rsidRPr="00566759" w:rsidRDefault="00566759" w:rsidP="00566759">
      <w:r w:rsidRPr="00566759">
        <w:t>Overall, the platform is poised to catalyze cross-experiment collaboration,</w:t>
      </w:r>
      <w:r>
        <w:t xml:space="preserve"> </w:t>
      </w:r>
      <w:r w:rsidRPr="00566759">
        <w:t>empower a growing community of analysts, and advance new high-impact amplitude analyses.</w:t>
      </w:r>
      <w:r>
        <w:t xml:space="preserve"> </w:t>
      </w:r>
      <w:r w:rsidRPr="00566759">
        <w:t>While a single, universal framework is unlikely to emerge in the community,</w:t>
      </w:r>
      <w:r>
        <w:t xml:space="preserve"> </w:t>
      </w:r>
      <w:r w:rsidRPr="00566759">
        <w:t>easy access to a tested and well-documented portal will aid in benchmarking new tools.</w:t>
      </w:r>
      <w:r>
        <w:t xml:space="preserve"> </w:t>
      </w:r>
      <w:r w:rsidRPr="00566759">
        <w:t>The platform will also democratize domain-specific knowledge,</w:t>
      </w:r>
      <w:r>
        <w:t xml:space="preserve"> </w:t>
      </w:r>
      <w:proofErr w:type="gramStart"/>
      <w:r w:rsidRPr="00566759">
        <w:t>benefiting</w:t>
      </w:r>
      <w:proofErr w:type="gramEnd"/>
      <w:r w:rsidRPr="00566759">
        <w:t xml:space="preserve"> researchers and providing a resource for training language models and future AI assistants.</w:t>
      </w:r>
    </w:p>
    <w:p w14:paraId="764D32BC" w14:textId="77777777" w:rsidR="002F6632" w:rsidRDefault="002F6632"/>
    <w:sectPr w:rsidR="002F6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59"/>
    <w:rsid w:val="002F6632"/>
    <w:rsid w:val="00566759"/>
    <w:rsid w:val="00753147"/>
    <w:rsid w:val="0093651D"/>
    <w:rsid w:val="00947BA6"/>
    <w:rsid w:val="00A6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D626"/>
  <w15:chartTrackingRefBased/>
  <w15:docId w15:val="{34AD00B5-D5A4-0240-A4FF-A01935AF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759"/>
    <w:rPr>
      <w:rFonts w:eastAsiaTheme="majorEastAsia" w:cstheme="majorBidi"/>
      <w:color w:val="272727" w:themeColor="text1" w:themeTint="D8"/>
    </w:rPr>
  </w:style>
  <w:style w:type="paragraph" w:styleId="Title">
    <w:name w:val="Title"/>
    <w:basedOn w:val="Normal"/>
    <w:next w:val="Normal"/>
    <w:link w:val="TitleChar"/>
    <w:uiPriority w:val="10"/>
    <w:qFormat/>
    <w:rsid w:val="0056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759"/>
    <w:pPr>
      <w:spacing w:before="160"/>
      <w:jc w:val="center"/>
    </w:pPr>
    <w:rPr>
      <w:i/>
      <w:iCs/>
      <w:color w:val="404040" w:themeColor="text1" w:themeTint="BF"/>
    </w:rPr>
  </w:style>
  <w:style w:type="character" w:customStyle="1" w:styleId="QuoteChar">
    <w:name w:val="Quote Char"/>
    <w:basedOn w:val="DefaultParagraphFont"/>
    <w:link w:val="Quote"/>
    <w:uiPriority w:val="29"/>
    <w:rsid w:val="00566759"/>
    <w:rPr>
      <w:i/>
      <w:iCs/>
      <w:color w:val="404040" w:themeColor="text1" w:themeTint="BF"/>
    </w:rPr>
  </w:style>
  <w:style w:type="paragraph" w:styleId="ListParagraph">
    <w:name w:val="List Paragraph"/>
    <w:basedOn w:val="Normal"/>
    <w:uiPriority w:val="34"/>
    <w:qFormat/>
    <w:rsid w:val="00566759"/>
    <w:pPr>
      <w:ind w:left="720"/>
      <w:contextualSpacing/>
    </w:pPr>
  </w:style>
  <w:style w:type="character" w:styleId="IntenseEmphasis">
    <w:name w:val="Intense Emphasis"/>
    <w:basedOn w:val="DefaultParagraphFont"/>
    <w:uiPriority w:val="21"/>
    <w:qFormat/>
    <w:rsid w:val="00566759"/>
    <w:rPr>
      <w:i/>
      <w:iCs/>
      <w:color w:val="0F4761" w:themeColor="accent1" w:themeShade="BF"/>
    </w:rPr>
  </w:style>
  <w:style w:type="paragraph" w:styleId="IntenseQuote">
    <w:name w:val="Intense Quote"/>
    <w:basedOn w:val="Normal"/>
    <w:next w:val="Normal"/>
    <w:link w:val="IntenseQuoteChar"/>
    <w:uiPriority w:val="30"/>
    <w:qFormat/>
    <w:rsid w:val="0056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759"/>
    <w:rPr>
      <w:i/>
      <w:iCs/>
      <w:color w:val="0F4761" w:themeColor="accent1" w:themeShade="BF"/>
    </w:rPr>
  </w:style>
  <w:style w:type="character" w:styleId="IntenseReference">
    <w:name w:val="Intense Reference"/>
    <w:basedOn w:val="DefaultParagraphFont"/>
    <w:uiPriority w:val="32"/>
    <w:qFormat/>
    <w:rsid w:val="00566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2A40-AB74-4449-9278-06CB7D57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Mikhasenko</dc:creator>
  <cp:keywords/>
  <dc:description/>
  <cp:lastModifiedBy>Mikhail Mikhasenko</cp:lastModifiedBy>
  <cp:revision>1</cp:revision>
  <dcterms:created xsi:type="dcterms:W3CDTF">2025-08-25T08:26:00Z</dcterms:created>
  <dcterms:modified xsi:type="dcterms:W3CDTF">2025-08-25T08:30:00Z</dcterms:modified>
</cp:coreProperties>
</file>