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spacing w:after="240"/>
        <w:rPr>
          <w:rFonts w:ascii="Calibri" w:cs="Calibri" w:hAnsi="Calibri" w:eastAsia="Calibri"/>
          <w:b w:val="1"/>
          <w:bCs w:val="1"/>
        </w:rPr>
      </w:pPr>
      <w:r>
        <w:rPr>
          <w:rFonts w:ascii="Calibri" w:hAnsi="Calibri"/>
          <w:b w:val="1"/>
          <w:bCs w:val="1"/>
          <w:rtl w:val="0"/>
          <w:lang w:val="en-US"/>
        </w:rPr>
        <w:t xml:space="preserve">Name of the project: </w:t>
      </w:r>
      <w:r>
        <w:rPr>
          <w:rFonts w:ascii="Calibri" w:hAnsi="Calibri"/>
          <w:b w:val="1"/>
          <w:bCs w:val="1"/>
          <w:rtl w:val="0"/>
          <w:lang w:val="fr-FR"/>
        </w:rPr>
        <w:t>VERVE</w:t>
      </w:r>
    </w:p>
    <w:p>
      <w:pPr>
        <w:pStyle w:val="Body"/>
        <w:spacing w:after="240"/>
        <w:rPr>
          <w:rFonts w:ascii="Calibri" w:cs="Calibri" w:hAnsi="Calibri" w:eastAsia="Calibri"/>
          <w:b w:val="1"/>
          <w:bCs w:val="1"/>
        </w:rPr>
      </w:pPr>
      <w:r>
        <w:rPr>
          <w:rFonts w:ascii="Calibri" w:hAnsi="Calibri"/>
          <w:b w:val="1"/>
          <w:bCs w:val="1"/>
          <w:rtl w:val="0"/>
          <w:lang w:val="en-US"/>
        </w:rPr>
        <w:t>Table 3.1c:</w:t>
        <w:tab/>
        <w:t>List of Deliverables</w:t>
      </w:r>
      <w:r>
        <w:rPr>
          <w:rFonts w:ascii="Calibri" w:cs="Calibri" w:hAnsi="Calibri" w:eastAsia="Calibri"/>
          <w:b w:val="1"/>
          <w:bCs w:val="1"/>
          <w:vertAlign w:val="superscript"/>
          <w:lang w:val="en-US"/>
        </w:rPr>
        <w:footnoteReference w:id="1"/>
      </w:r>
      <w:r>
        <w:rPr>
          <w:rFonts w:ascii="Calibri" w:hAnsi="Calibri"/>
          <w:b w:val="1"/>
          <w:bCs w:val="1"/>
          <w:rtl w:val="0"/>
          <w:lang w:val="en-US"/>
        </w:rPr>
        <w:t xml:space="preserve">  </w:t>
      </w:r>
    </w:p>
    <w:p>
      <w:pPr>
        <w:pStyle w:val="Body"/>
        <w:spacing w:after="240"/>
        <w:jc w:val="both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 xml:space="preserve">Only include deliverables that you consider essential for effective project monitoring. </w:t>
      </w:r>
    </w:p>
    <w:tbl>
      <w:tblPr>
        <w:tblW w:w="10319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1051"/>
        <w:gridCol w:w="1417"/>
        <w:gridCol w:w="2693"/>
        <w:gridCol w:w="992"/>
        <w:gridCol w:w="1275"/>
        <w:gridCol w:w="710"/>
        <w:gridCol w:w="1047"/>
        <w:gridCol w:w="1134"/>
      </w:tblGrid>
      <w:tr>
        <w:tblPrEx>
          <w:shd w:val="clear" w:color="auto" w:fill="d0ddef"/>
        </w:tblPrEx>
        <w:trPr>
          <w:trHeight w:val="1121" w:hRule="atLeast"/>
        </w:trPr>
        <w:tc>
          <w:tcPr>
            <w:tcW w:type="dxa" w:w="10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before="120"/>
              <w:jc w:val="center"/>
            </w:pP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>Number</w:t>
            </w:r>
          </w:p>
        </w:tc>
        <w:tc>
          <w:tcPr>
            <w:tcW w:type="dxa" w:w="14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before="120"/>
              <w:jc w:val="center"/>
            </w:pP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>Deliverable name</w:t>
            </w:r>
          </w:p>
        </w:tc>
        <w:tc>
          <w:tcPr>
            <w:tcW w:type="dxa" w:w="26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before="120"/>
              <w:jc w:val="center"/>
            </w:pP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>Short description</w:t>
            </w:r>
          </w:p>
        </w:tc>
        <w:tc>
          <w:tcPr>
            <w:tcW w:type="dxa" w:w="9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before="120"/>
              <w:jc w:val="center"/>
            </w:pP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 xml:space="preserve">Work package number </w:t>
            </w:r>
          </w:p>
        </w:tc>
        <w:tc>
          <w:tcPr>
            <w:tcW w:type="dxa" w:w="1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 xml:space="preserve">Short name of lead participant </w:t>
            </w:r>
          </w:p>
        </w:tc>
        <w:tc>
          <w:tcPr>
            <w:tcW w:type="dxa" w:w="7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>Type</w:t>
            </w:r>
          </w:p>
        </w:tc>
        <w:tc>
          <w:tcPr>
            <w:tcW w:type="dxa" w:w="10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before="120"/>
              <w:jc w:val="center"/>
            </w:pP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>Dissemination level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before="120"/>
              <w:jc w:val="center"/>
              <w:rPr>
                <w:rFonts w:ascii="Calibri" w:cs="Calibri" w:hAnsi="Calibri" w:eastAsia="Calibri"/>
                <w:b w:val="1"/>
                <w:bCs w:val="1"/>
                <w:shd w:val="nil" w:color="auto" w:fill="auto"/>
              </w:rPr>
            </w:pP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>Delivery date</w:t>
            </w:r>
          </w:p>
          <w:p>
            <w:pPr>
              <w:pStyle w:val="Body"/>
              <w:bidi w:val="0"/>
              <w:spacing w:before="12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>(in months)</w:t>
            </w:r>
          </w:p>
        </w:tc>
      </w:tr>
      <w:tr>
        <w:tblPrEx>
          <w:shd w:val="clear" w:color="auto" w:fill="d0ddef"/>
        </w:tblPrEx>
        <w:trPr>
          <w:trHeight w:val="481" w:hRule="atLeast"/>
        </w:trPr>
        <w:tc>
          <w:tcPr>
            <w:tcW w:type="dxa" w:w="10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12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</w:t>
            </w:r>
          </w:p>
        </w:tc>
        <w:tc>
          <w:tcPr>
            <w:tcW w:type="dxa" w:w="14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12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DMP</w:t>
            </w:r>
          </w:p>
        </w:tc>
        <w:tc>
          <w:tcPr>
            <w:tcW w:type="dxa" w:w="26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12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Establish DMP and publication strategy</w:t>
            </w:r>
          </w:p>
        </w:tc>
        <w:tc>
          <w:tcPr>
            <w:tcW w:type="dxa" w:w="9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12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</w:t>
            </w:r>
          </w:p>
        </w:tc>
        <w:tc>
          <w:tcPr>
            <w:tcW w:type="dxa" w:w="1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12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INFN</w:t>
            </w:r>
          </w:p>
        </w:tc>
        <w:tc>
          <w:tcPr>
            <w:tcW w:type="dxa" w:w="7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12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DMP</w:t>
            </w:r>
          </w:p>
        </w:tc>
        <w:tc>
          <w:tcPr>
            <w:tcW w:type="dxa" w:w="10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12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PU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12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6</w:t>
            </w:r>
          </w:p>
        </w:tc>
      </w:tr>
      <w:tr>
        <w:tblPrEx>
          <w:shd w:val="clear" w:color="auto" w:fill="d0ddef"/>
        </w:tblPrEx>
        <w:trPr>
          <w:trHeight w:val="1001" w:hRule="atLeast"/>
        </w:trPr>
        <w:tc>
          <w:tcPr>
            <w:tcW w:type="dxa" w:w="10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12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</w:t>
            </w:r>
          </w:p>
        </w:tc>
        <w:tc>
          <w:tcPr>
            <w:tcW w:type="dxa" w:w="14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12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Cold setup</w:t>
            </w:r>
          </w:p>
        </w:tc>
        <w:tc>
          <w:tcPr>
            <w:tcW w:type="dxa" w:w="26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12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Establish and validate the cooling setup for silicon sensors for a temperature range down to -20</w:t>
            </w:r>
            <w:r>
              <w:rPr>
                <w:rFonts w:ascii="Calibri" w:cs="Arial Unicode MS" w:hAnsi="Calibri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º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</w:t>
            </w:r>
          </w:p>
        </w:tc>
        <w:tc>
          <w:tcPr>
            <w:tcW w:type="dxa" w:w="9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12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</w:t>
            </w:r>
          </w:p>
        </w:tc>
        <w:tc>
          <w:tcPr>
            <w:tcW w:type="dxa" w:w="1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12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CERN</w:t>
            </w:r>
          </w:p>
        </w:tc>
        <w:tc>
          <w:tcPr>
            <w:tcW w:type="dxa" w:w="7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12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DEM</w:t>
            </w:r>
          </w:p>
        </w:tc>
        <w:tc>
          <w:tcPr>
            <w:tcW w:type="dxa" w:w="10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12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PU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12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12</w:t>
            </w:r>
          </w:p>
        </w:tc>
      </w:tr>
      <w:tr>
        <w:tblPrEx>
          <w:shd w:val="clear" w:color="auto" w:fill="d0ddef"/>
        </w:tblPrEx>
        <w:trPr>
          <w:trHeight w:val="1261" w:hRule="atLeast"/>
        </w:trPr>
        <w:tc>
          <w:tcPr>
            <w:tcW w:type="dxa" w:w="10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12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3</w:t>
            </w:r>
          </w:p>
        </w:tc>
        <w:tc>
          <w:tcPr>
            <w:tcW w:type="dxa" w:w="14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12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Vacuum setup</w:t>
            </w:r>
          </w:p>
        </w:tc>
        <w:tc>
          <w:tcPr>
            <w:tcW w:type="dxa" w:w="26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12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Establish and validate the degassing setup for materials for the Vertex Detector for pressure range down to 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10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superscript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-6</w:t>
            </w: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mbar</w:t>
            </w:r>
          </w:p>
        </w:tc>
        <w:tc>
          <w:tcPr>
            <w:tcW w:type="dxa" w:w="9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12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</w:t>
            </w:r>
          </w:p>
        </w:tc>
        <w:tc>
          <w:tcPr>
            <w:tcW w:type="dxa" w:w="1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12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INFN</w:t>
            </w:r>
          </w:p>
        </w:tc>
        <w:tc>
          <w:tcPr>
            <w:tcW w:type="dxa" w:w="7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12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DEM</w:t>
            </w:r>
          </w:p>
        </w:tc>
        <w:tc>
          <w:tcPr>
            <w:tcW w:type="dxa" w:w="10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12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PU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12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12</w:t>
            </w:r>
          </w:p>
        </w:tc>
      </w:tr>
      <w:tr>
        <w:tblPrEx>
          <w:shd w:val="clear" w:color="auto" w:fill="d0ddef"/>
        </w:tblPrEx>
        <w:trPr>
          <w:trHeight w:val="221" w:hRule="atLeast"/>
        </w:trPr>
        <w:tc>
          <w:tcPr>
            <w:tcW w:type="dxa" w:w="10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12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4</w:t>
            </w:r>
          </w:p>
        </w:tc>
        <w:tc>
          <w:tcPr>
            <w:tcW w:type="dxa" w:w="14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12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Beam tests</w:t>
            </w:r>
          </w:p>
        </w:tc>
        <w:tc>
          <w:tcPr>
            <w:tcW w:type="dxa" w:w="26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12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Test beam campaigns</w:t>
            </w:r>
          </w:p>
        </w:tc>
        <w:tc>
          <w:tcPr>
            <w:tcW w:type="dxa" w:w="9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12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</w:t>
            </w:r>
          </w:p>
        </w:tc>
        <w:tc>
          <w:tcPr>
            <w:tcW w:type="dxa" w:w="1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12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CERN</w:t>
            </w:r>
          </w:p>
        </w:tc>
        <w:tc>
          <w:tcPr>
            <w:tcW w:type="dxa" w:w="7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12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DATA</w:t>
            </w:r>
          </w:p>
        </w:tc>
        <w:tc>
          <w:tcPr>
            <w:tcW w:type="dxa" w:w="10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12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PU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12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36</w:t>
            </w:r>
          </w:p>
        </w:tc>
      </w:tr>
      <w:tr>
        <w:tblPrEx>
          <w:shd w:val="clear" w:color="auto" w:fill="d0ddef"/>
        </w:tblPrEx>
        <w:trPr>
          <w:trHeight w:val="221" w:hRule="atLeast"/>
        </w:trPr>
        <w:tc>
          <w:tcPr>
            <w:tcW w:type="dxa" w:w="10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12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5</w:t>
            </w:r>
          </w:p>
        </w:tc>
        <w:tc>
          <w:tcPr>
            <w:tcW w:type="dxa" w:w="14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12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Vacuum tests</w:t>
            </w:r>
          </w:p>
        </w:tc>
        <w:tc>
          <w:tcPr>
            <w:tcW w:type="dxa" w:w="26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12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Degasing measurements</w:t>
            </w:r>
          </w:p>
        </w:tc>
        <w:tc>
          <w:tcPr>
            <w:tcW w:type="dxa" w:w="9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12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</w:t>
            </w:r>
          </w:p>
        </w:tc>
        <w:tc>
          <w:tcPr>
            <w:tcW w:type="dxa" w:w="1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12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INFN</w:t>
            </w:r>
          </w:p>
        </w:tc>
        <w:tc>
          <w:tcPr>
            <w:tcW w:type="dxa" w:w="7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12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DATA</w:t>
            </w:r>
          </w:p>
        </w:tc>
        <w:tc>
          <w:tcPr>
            <w:tcW w:type="dxa" w:w="10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12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PU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12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36</w:t>
            </w:r>
          </w:p>
        </w:tc>
      </w:tr>
    </w:tbl>
    <w:p>
      <w:pPr>
        <w:pStyle w:val="Body"/>
        <w:spacing w:after="240"/>
        <w:jc w:val="center"/>
        <w:rPr>
          <w:rFonts w:ascii="Calibri" w:cs="Calibri" w:hAnsi="Calibri" w:eastAsia="Calibri"/>
        </w:rPr>
      </w:pPr>
    </w:p>
    <w:p>
      <w:pPr>
        <w:pStyle w:val="Body"/>
        <w:rPr>
          <w:rFonts w:ascii="Calibri" w:cs="Calibri" w:hAnsi="Calibri" w:eastAsia="Calibri"/>
          <w:lang w:val="en-US"/>
        </w:rPr>
      </w:pPr>
    </w:p>
    <w:tbl>
      <w:tblPr>
        <w:tblW w:w="906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9062"/>
      </w:tblGrid>
      <w:tr>
        <w:tblPrEx>
          <w:shd w:val="clear" w:color="auto" w:fill="d0ddef"/>
        </w:tblPrEx>
        <w:trPr>
          <w:trHeight w:val="6986" w:hRule="atLeast"/>
        </w:trPr>
        <w:tc>
          <w:tcPr>
            <w:tcW w:type="dxa" w:w="90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rFonts w:ascii="Calibri" w:cs="Calibri" w:hAnsi="Calibri" w:eastAsia="Calibri"/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KEY 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Deliverable numbers in order of delivery dates. Please use the numbering convention &lt;WP number&gt;.&lt;number of deliverable within that WP&gt;. 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For example, deliverable 4.2 would be the second deliverable from work package 4.</w:t>
            </w:r>
          </w:p>
          <w:p>
            <w:pPr>
              <w:pStyle w:val="Body"/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"/>
              <w:bidi w:val="0"/>
              <w:ind w:left="0" w:right="0" w:firstLine="0"/>
              <w:jc w:val="left"/>
              <w:rPr>
                <w:rFonts w:ascii="Calibri" w:cs="Calibri" w:hAnsi="Calibri" w:eastAsia="Calibri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Type: 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Use one of the following codes: </w:t>
            </w:r>
          </w:p>
          <w:p>
            <w:pPr>
              <w:pStyle w:val="Body"/>
              <w:bidi w:val="0"/>
              <w:ind w:left="720" w:right="0" w:firstLine="0"/>
              <w:jc w:val="left"/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R:</w:t>
              <w:tab/>
              <w:t xml:space="preserve">Document, report (excluding the periodic and final reports) </w:t>
            </w:r>
          </w:p>
          <w:p>
            <w:pPr>
              <w:pStyle w:val="Body"/>
              <w:bidi w:val="0"/>
              <w:ind w:left="720" w:right="0" w:firstLine="0"/>
              <w:jc w:val="left"/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DEM:</w:t>
              <w:tab/>
              <w:t xml:space="preserve">Demonstrator, pilot, prototype, plan designs </w:t>
            </w:r>
          </w:p>
          <w:p>
            <w:pPr>
              <w:pStyle w:val="Body"/>
              <w:bidi w:val="0"/>
              <w:ind w:left="720" w:right="0" w:firstLine="0"/>
              <w:jc w:val="left"/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DEC:</w:t>
              <w:tab/>
              <w:t>Websites, patents filing, press &amp; media actions, videos, etc.</w:t>
            </w:r>
          </w:p>
          <w:p>
            <w:pPr>
              <w:pStyle w:val="Body"/>
              <w:bidi w:val="0"/>
              <w:ind w:left="720" w:right="0" w:firstLine="0"/>
              <w:jc w:val="left"/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it-IT"/>
              </w:rPr>
              <w:t>DATA:</w:t>
              <w:tab/>
              <w:t>Data sets, microdata, etc.</w:t>
            </w:r>
          </w:p>
          <w:p>
            <w:pPr>
              <w:pStyle w:val="Body"/>
              <w:bidi w:val="0"/>
              <w:ind w:left="720" w:right="0" w:firstLine="0"/>
              <w:jc w:val="left"/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DMP: </w:t>
              <w:tab/>
              <w:t>Data management plan</w:t>
            </w:r>
          </w:p>
          <w:p>
            <w:pPr>
              <w:pStyle w:val="Body"/>
              <w:bidi w:val="0"/>
              <w:ind w:left="720" w:right="0" w:firstLine="0"/>
              <w:jc w:val="left"/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ETHICS:</w:t>
              <w:tab/>
              <w:t xml:space="preserve">Deliverables related to ethics issues.  </w:t>
            </w:r>
          </w:p>
          <w:p>
            <w:pPr>
              <w:pStyle w:val="Body"/>
              <w:bidi w:val="0"/>
              <w:ind w:left="720" w:right="0" w:firstLine="0"/>
              <w:jc w:val="left"/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SECURITY: Deliverables related to security issues</w:t>
            </w:r>
          </w:p>
          <w:p>
            <w:pPr>
              <w:pStyle w:val="Body"/>
              <w:bidi w:val="0"/>
              <w:ind w:left="720" w:right="0" w:firstLine="0"/>
              <w:jc w:val="left"/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OTHER: Software, technical diagram, algorithms, models, etc.</w:t>
            </w:r>
          </w:p>
          <w:p>
            <w:pPr>
              <w:pStyle w:val="Body"/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"/>
              <w:bidi w:val="0"/>
              <w:ind w:left="0" w:right="0" w:firstLine="0"/>
              <w:jc w:val="left"/>
              <w:rPr>
                <w:rFonts w:ascii="Calibri" w:cs="Calibri" w:hAnsi="Calibri" w:eastAsia="Calibri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Dissemination level: 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Use one of the following codes: </w:t>
            </w:r>
          </w:p>
          <w:p>
            <w:pPr>
              <w:pStyle w:val="Body"/>
              <w:bidi w:val="0"/>
              <w:ind w:left="720" w:right="0" w:firstLine="0"/>
              <w:jc w:val="left"/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PU 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Public, fully open, e.g. web (Deliverables flagged as public will be automatically published in CORDIS          project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’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s page)</w:t>
            </w:r>
          </w:p>
          <w:p>
            <w:pPr>
              <w:pStyle w:val="Body"/>
              <w:bidi w:val="0"/>
              <w:ind w:left="720" w:right="0" w:firstLine="0"/>
              <w:jc w:val="left"/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SEN 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Sensitive, limited under the conditions of the Grant Agreement</w:t>
              <w:tab/>
            </w:r>
          </w:p>
          <w:p>
            <w:pPr>
              <w:pStyle w:val="Body"/>
              <w:bidi w:val="0"/>
              <w:ind w:left="720" w:right="0" w:firstLine="0"/>
              <w:jc w:val="left"/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Classified R-UE/EU-R 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EU RESTRICTED under the Commission Decision No2015/444</w:t>
            </w:r>
          </w:p>
          <w:p>
            <w:pPr>
              <w:pStyle w:val="Body"/>
              <w:bidi w:val="0"/>
              <w:ind w:left="720" w:right="0" w:firstLine="0"/>
              <w:jc w:val="left"/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Classified C-UE/EU-C 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EU CONFIDENTIAL under the Commission Decision No2015/444</w:t>
            </w:r>
          </w:p>
          <w:p>
            <w:pPr>
              <w:pStyle w:val="Body"/>
              <w:bidi w:val="0"/>
              <w:ind w:left="720" w:right="0" w:firstLine="0"/>
              <w:jc w:val="left"/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Classified S-UE/EU-S 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EU SECRET under the Commission Decision No2015/444</w:t>
            </w:r>
          </w:p>
          <w:p>
            <w:pPr>
              <w:pStyle w:val="Body"/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"/>
              <w:bidi w:val="0"/>
              <w:ind w:left="0" w:right="0" w:firstLine="0"/>
              <w:jc w:val="left"/>
              <w:rPr>
                <w:rFonts w:ascii="Calibri" w:cs="Calibri" w:hAnsi="Calibri" w:eastAsia="Calibri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Delivery date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Measured in months from the project start date (month 1)</w:t>
            </w:r>
          </w:p>
        </w:tc>
      </w:tr>
    </w:tbl>
    <w:p>
      <w:pPr>
        <w:pStyle w:val="Body"/>
        <w:rPr>
          <w:rFonts w:ascii="Calibri" w:cs="Calibri" w:hAnsi="Calibri" w:eastAsia="Calibri"/>
          <w:lang w:val="en-US"/>
        </w:rPr>
      </w:pPr>
    </w:p>
    <w:p>
      <w:pPr>
        <w:pStyle w:val="Body"/>
        <w:rPr>
          <w:rFonts w:ascii="Calibri" w:cs="Calibri" w:hAnsi="Calibri" w:eastAsia="Calibri"/>
          <w:lang w:val="en-US"/>
        </w:rPr>
      </w:pPr>
    </w:p>
    <w:p>
      <w:pPr>
        <w:pStyle w:val="Body"/>
        <w:spacing w:after="120" w:line="276" w:lineRule="auto"/>
        <w:jc w:val="both"/>
        <w:rPr>
          <w:rFonts w:ascii="Calibri" w:cs="Calibri" w:hAnsi="Calibri" w:eastAsia="Calibri"/>
          <w:b w:val="1"/>
          <w:bCs w:val="1"/>
          <w:lang w:val="en-US"/>
        </w:rPr>
      </w:pPr>
    </w:p>
    <w:p>
      <w:pPr>
        <w:pStyle w:val="Body"/>
        <w:spacing w:after="120" w:line="276" w:lineRule="auto"/>
        <w:jc w:val="both"/>
        <w:rPr>
          <w:rFonts w:ascii="Calibri" w:cs="Calibri" w:hAnsi="Calibri" w:eastAsia="Calibri"/>
          <w:b w:val="1"/>
          <w:bCs w:val="1"/>
          <w:lang w:val="en-US"/>
        </w:rPr>
      </w:pPr>
    </w:p>
    <w:p>
      <w:pPr>
        <w:pStyle w:val="Body"/>
        <w:spacing w:after="120" w:line="276" w:lineRule="auto"/>
        <w:jc w:val="both"/>
        <w:rPr>
          <w:rFonts w:ascii="Calibri" w:cs="Calibri" w:hAnsi="Calibri" w:eastAsia="Calibri"/>
          <w:b w:val="1"/>
          <w:bCs w:val="1"/>
        </w:rPr>
      </w:pPr>
      <w:r>
        <w:rPr>
          <w:rFonts w:ascii="Calibri" w:hAnsi="Calibri"/>
          <w:b w:val="1"/>
          <w:bCs w:val="1"/>
          <w:rtl w:val="0"/>
          <w:lang w:val="en-US"/>
        </w:rPr>
        <w:t>Table 3.1d:</w:t>
        <w:tab/>
        <w:t xml:space="preserve">List of milestones </w:t>
      </w:r>
    </w:p>
    <w:tbl>
      <w:tblPr>
        <w:tblW w:w="8954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1297"/>
        <w:gridCol w:w="1568"/>
        <w:gridCol w:w="2112"/>
        <w:gridCol w:w="2058"/>
        <w:gridCol w:w="1919"/>
      </w:tblGrid>
      <w:tr>
        <w:tblPrEx>
          <w:shd w:val="clear" w:color="auto" w:fill="d0ddef"/>
        </w:tblPrEx>
        <w:trPr>
          <w:trHeight w:val="481" w:hRule="atLeast"/>
        </w:trPr>
        <w:tc>
          <w:tcPr>
            <w:tcW w:type="dxa" w:w="12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>Milestone number</w:t>
            </w:r>
          </w:p>
        </w:tc>
        <w:tc>
          <w:tcPr>
            <w:tcW w:type="dxa" w:w="15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>Milestone name</w:t>
            </w:r>
          </w:p>
        </w:tc>
        <w:tc>
          <w:tcPr>
            <w:tcW w:type="dxa" w:w="21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>Related work package(s)</w:t>
            </w:r>
          </w:p>
        </w:tc>
        <w:tc>
          <w:tcPr>
            <w:tcW w:type="dxa" w:w="20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>Due date (in month)</w:t>
            </w:r>
          </w:p>
        </w:tc>
        <w:tc>
          <w:tcPr>
            <w:tcW w:type="dxa" w:w="19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>Means of verification</w:t>
            </w:r>
          </w:p>
        </w:tc>
      </w:tr>
      <w:tr>
        <w:tblPrEx>
          <w:shd w:val="clear" w:color="auto" w:fill="d0ddef"/>
        </w:tblPrEx>
        <w:trPr>
          <w:trHeight w:val="481" w:hRule="atLeast"/>
        </w:trPr>
        <w:tc>
          <w:tcPr>
            <w:tcW w:type="dxa" w:w="12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</w:t>
            </w:r>
          </w:p>
        </w:tc>
        <w:tc>
          <w:tcPr>
            <w:tcW w:type="dxa" w:w="15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Cold setup</w:t>
            </w:r>
          </w:p>
        </w:tc>
        <w:tc>
          <w:tcPr>
            <w:tcW w:type="dxa" w:w="21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</w:t>
            </w:r>
          </w:p>
        </w:tc>
        <w:tc>
          <w:tcPr>
            <w:tcW w:type="dxa" w:w="20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12</w:t>
            </w:r>
          </w:p>
        </w:tc>
        <w:tc>
          <w:tcPr>
            <w:tcW w:type="dxa" w:w="19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setup up and running</w:t>
            </w:r>
          </w:p>
        </w:tc>
      </w:tr>
      <w:tr>
        <w:tblPrEx>
          <w:shd w:val="clear" w:color="auto" w:fill="d0ddef"/>
        </w:tblPrEx>
        <w:trPr>
          <w:trHeight w:val="221" w:hRule="atLeast"/>
        </w:trPr>
        <w:tc>
          <w:tcPr>
            <w:tcW w:type="dxa" w:w="12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</w:t>
            </w:r>
          </w:p>
        </w:tc>
        <w:tc>
          <w:tcPr>
            <w:tcW w:type="dxa" w:w="15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Vacuum setup</w:t>
            </w:r>
          </w:p>
        </w:tc>
        <w:tc>
          <w:tcPr>
            <w:tcW w:type="dxa" w:w="21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</w:t>
            </w:r>
          </w:p>
        </w:tc>
        <w:tc>
          <w:tcPr>
            <w:tcW w:type="dxa" w:w="20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12</w:t>
            </w:r>
          </w:p>
        </w:tc>
        <w:tc>
          <w:tcPr>
            <w:tcW w:type="dxa" w:w="19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setup and running</w:t>
            </w:r>
          </w:p>
        </w:tc>
      </w:tr>
      <w:tr>
        <w:tblPrEx>
          <w:shd w:val="clear" w:color="auto" w:fill="d0ddef"/>
        </w:tblPrEx>
        <w:trPr>
          <w:trHeight w:val="221" w:hRule="atLeast"/>
        </w:trPr>
        <w:tc>
          <w:tcPr>
            <w:tcW w:type="dxa" w:w="12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3</w:t>
            </w:r>
          </w:p>
        </w:tc>
        <w:tc>
          <w:tcPr>
            <w:tcW w:type="dxa" w:w="15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Beam tests</w:t>
            </w:r>
          </w:p>
        </w:tc>
        <w:tc>
          <w:tcPr>
            <w:tcW w:type="dxa" w:w="21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</w:t>
            </w:r>
          </w:p>
        </w:tc>
        <w:tc>
          <w:tcPr>
            <w:tcW w:type="dxa" w:w="20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36</w:t>
            </w:r>
          </w:p>
        </w:tc>
        <w:tc>
          <w:tcPr>
            <w:tcW w:type="dxa" w:w="19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data recorded</w:t>
            </w:r>
          </w:p>
        </w:tc>
      </w:tr>
      <w:tr>
        <w:tblPrEx>
          <w:shd w:val="clear" w:color="auto" w:fill="d0ddef"/>
        </w:tblPrEx>
        <w:trPr>
          <w:trHeight w:val="221" w:hRule="atLeast"/>
        </w:trPr>
        <w:tc>
          <w:tcPr>
            <w:tcW w:type="dxa" w:w="12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4</w:t>
            </w:r>
          </w:p>
        </w:tc>
        <w:tc>
          <w:tcPr>
            <w:tcW w:type="dxa" w:w="15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Vacuum tests</w:t>
            </w:r>
          </w:p>
        </w:tc>
        <w:tc>
          <w:tcPr>
            <w:tcW w:type="dxa" w:w="21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</w:t>
            </w:r>
          </w:p>
        </w:tc>
        <w:tc>
          <w:tcPr>
            <w:tcW w:type="dxa" w:w="20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36</w:t>
            </w:r>
          </w:p>
        </w:tc>
        <w:tc>
          <w:tcPr>
            <w:tcW w:type="dxa" w:w="19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data recorded</w:t>
            </w:r>
          </w:p>
        </w:tc>
      </w:tr>
      <w:tr>
        <w:tblPrEx>
          <w:shd w:val="clear" w:color="auto" w:fill="d0ddef"/>
        </w:tblPrEx>
        <w:trPr>
          <w:trHeight w:val="221" w:hRule="atLeast"/>
        </w:trPr>
        <w:tc>
          <w:tcPr>
            <w:tcW w:type="dxa" w:w="12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5</w:t>
            </w:r>
          </w:p>
        </w:tc>
        <w:tc>
          <w:tcPr>
            <w:tcW w:type="dxa" w:w="15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Analysis</w:t>
            </w:r>
          </w:p>
        </w:tc>
        <w:tc>
          <w:tcPr>
            <w:tcW w:type="dxa" w:w="21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</w:t>
            </w:r>
          </w:p>
        </w:tc>
        <w:tc>
          <w:tcPr>
            <w:tcW w:type="dxa" w:w="20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44</w:t>
            </w:r>
          </w:p>
        </w:tc>
        <w:tc>
          <w:tcPr>
            <w:tcW w:type="dxa" w:w="19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data analysed</w:t>
            </w:r>
          </w:p>
        </w:tc>
      </w:tr>
    </w:tbl>
    <w:p>
      <w:pPr>
        <w:pStyle w:val="Body"/>
        <w:spacing w:after="120"/>
        <w:ind w:left="108" w:hanging="108"/>
        <w:jc w:val="both"/>
        <w:rPr>
          <w:rFonts w:ascii="Calibri" w:cs="Calibri" w:hAnsi="Calibri" w:eastAsia="Calibri"/>
          <w:b w:val="1"/>
          <w:bCs w:val="1"/>
        </w:rPr>
      </w:pPr>
    </w:p>
    <w:p>
      <w:pPr>
        <w:pStyle w:val="Body"/>
        <w:jc w:val="center"/>
        <w:rPr>
          <w:rFonts w:ascii="Calibri" w:cs="Calibri" w:hAnsi="Calibri" w:eastAsia="Calibri"/>
          <w:lang w:val="en-US"/>
        </w:rPr>
      </w:pPr>
    </w:p>
    <w:tbl>
      <w:tblPr>
        <w:tblW w:w="9062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9062"/>
      </w:tblGrid>
      <w:tr>
        <w:tblPrEx>
          <w:shd w:val="clear" w:color="auto" w:fill="d0ddef"/>
        </w:tblPrEx>
        <w:trPr>
          <w:trHeight w:val="2306" w:hRule="atLeast"/>
        </w:trPr>
        <w:tc>
          <w:tcPr>
            <w:tcW w:type="dxa" w:w="90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rFonts w:ascii="Calibri" w:cs="Calibri" w:hAnsi="Calibri" w:eastAsia="Calibri"/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KEY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rFonts w:ascii="Calibri" w:cs="Calibri" w:hAnsi="Calibri" w:eastAsia="Calibri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Due date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Measured in months from the project start date (month 1)</w:t>
            </w:r>
          </w:p>
          <w:p>
            <w:pPr>
              <w:pStyle w:val="Body"/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"/>
              <w:bidi w:val="0"/>
              <w:ind w:left="0" w:right="0" w:firstLine="0"/>
              <w:jc w:val="left"/>
              <w:rPr>
                <w:rFonts w:ascii="Calibri" w:cs="Calibri" w:hAnsi="Calibri" w:eastAsia="Calibri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Means of verification </w:t>
            </w:r>
          </w:p>
          <w:p>
            <w:pPr>
              <w:pStyle w:val="Body"/>
              <w:rPr>
                <w:rFonts w:ascii="Calibri" w:cs="Calibri" w:hAnsi="Calibri" w:eastAsia="Calibri"/>
                <w:b w:val="1"/>
                <w:bCs w:val="1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Show how you will confirm that the milestone has been attained. Refer to indicators if appropriate. For example: a laboratory prototype that is 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‘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up and running</w:t>
            </w:r>
            <w:r>
              <w:rPr>
                <w:rFonts w:ascii="Calibri" w:hAnsi="Calibri" w:hint="default"/>
                <w:sz w:val="20"/>
                <w:szCs w:val="20"/>
                <w:shd w:val="nil" w:color="auto" w:fill="auto"/>
                <w:rtl w:val="0"/>
                <w:lang w:val="en-US"/>
              </w:rPr>
              <w:t>’</w:t>
            </w: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; software released and validated by a user group; field survey complete and data quality validated.</w:t>
            </w:r>
          </w:p>
        </w:tc>
      </w:tr>
    </w:tbl>
    <w:p>
      <w:pPr>
        <w:pStyle w:val="Body"/>
        <w:jc w:val="center"/>
        <w:rPr>
          <w:rFonts w:ascii="Calibri" w:cs="Calibri" w:hAnsi="Calibri" w:eastAsia="Calibri"/>
          <w:lang w:val="en-US"/>
        </w:rPr>
      </w:pPr>
    </w:p>
    <w:p>
      <w:pPr>
        <w:pStyle w:val="Body"/>
        <w:spacing w:after="120"/>
        <w:rPr>
          <w:rFonts w:ascii="Calibri" w:cs="Calibri" w:hAnsi="Calibri" w:eastAsia="Calibri"/>
          <w:b w:val="1"/>
          <w:bCs w:val="1"/>
          <w:lang w:val="en-US"/>
        </w:rPr>
      </w:pPr>
    </w:p>
    <w:p>
      <w:pPr>
        <w:pStyle w:val="Body"/>
        <w:spacing w:after="120"/>
        <w:rPr>
          <w:rFonts w:ascii="Calibri" w:cs="Calibri" w:hAnsi="Calibri" w:eastAsia="Calibri"/>
          <w:b w:val="1"/>
          <w:bCs w:val="1"/>
          <w:i w:val="1"/>
          <w:iCs w:val="1"/>
        </w:rPr>
      </w:pPr>
      <w:r>
        <w:rPr>
          <w:rFonts w:ascii="Calibri" w:hAnsi="Calibri"/>
          <w:b w:val="1"/>
          <w:bCs w:val="1"/>
          <w:rtl w:val="0"/>
          <w:lang w:val="en-US"/>
        </w:rPr>
        <w:t>Table 3.1e:</w:t>
        <w:tab/>
        <w:t xml:space="preserve">Critical risks for implementation </w:t>
      </w:r>
      <w:bookmarkStart w:name="_Hlk106802874" w:id="0"/>
      <w:r>
        <w:rPr>
          <w:outline w:val="0"/>
          <w:color w:val="b5b5b5"/>
          <w:sz w:val="18"/>
          <w:szCs w:val="18"/>
          <w:u w:color="b5b5b5"/>
          <w:rtl w:val="0"/>
          <w:lang w:val="de-DE"/>
          <w14:textFill>
            <w14:solidFill>
              <w14:srgbClr w14:val="B5B5B5"/>
            </w14:solidFill>
          </w14:textFill>
        </w:rPr>
        <w:t>#@RSK-MGT-RM@#</w:t>
      </w:r>
      <w:bookmarkEnd w:id="0"/>
    </w:p>
    <w:tbl>
      <w:tblPr>
        <w:tblW w:w="8954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3638"/>
        <w:gridCol w:w="2278"/>
        <w:gridCol w:w="3038"/>
      </w:tblGrid>
      <w:tr>
        <w:tblPrEx>
          <w:shd w:val="clear" w:color="auto" w:fill="d0ddef"/>
        </w:tblPrEx>
        <w:trPr>
          <w:trHeight w:val="805" w:hRule="atLeast"/>
        </w:trPr>
        <w:tc>
          <w:tcPr>
            <w:tcW w:type="dxa" w:w="36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76" w:lineRule="auto"/>
              <w:jc w:val="center"/>
            </w:pP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>Description of risk  (indicate level of (i) likelihood, and (ii) severity: Low/Medium/High)</w:t>
            </w:r>
          </w:p>
        </w:tc>
        <w:tc>
          <w:tcPr>
            <w:tcW w:type="dxa" w:w="22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76" w:lineRule="auto"/>
              <w:jc w:val="center"/>
            </w:pP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>Work package(s) involved</w:t>
            </w:r>
          </w:p>
        </w:tc>
        <w:tc>
          <w:tcPr>
            <w:tcW w:type="dxa" w:w="30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76" w:lineRule="auto"/>
              <w:jc w:val="center"/>
            </w:pPr>
            <w:r>
              <w:rPr>
                <w:rFonts w:ascii="Calibri" w:hAnsi="Calibri"/>
                <w:b w:val="1"/>
                <w:bCs w:val="1"/>
                <w:shd w:val="nil" w:color="auto" w:fill="auto"/>
                <w:rtl w:val="0"/>
                <w:lang w:val="en-US"/>
              </w:rPr>
              <w:t>Proposed risk-mitigation measures</w:t>
            </w:r>
          </w:p>
        </w:tc>
      </w:tr>
      <w:tr>
        <w:tblPrEx>
          <w:shd w:val="clear" w:color="auto" w:fill="d0ddef"/>
        </w:tblPrEx>
        <w:trPr>
          <w:trHeight w:val="221" w:hRule="atLeast"/>
        </w:trPr>
        <w:tc>
          <w:tcPr>
            <w:tcW w:type="dxa" w:w="36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76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Availability of new DUTs (low / high)</w:t>
            </w:r>
          </w:p>
        </w:tc>
        <w:tc>
          <w:tcPr>
            <w:tcW w:type="dxa" w:w="22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76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</w:t>
            </w:r>
          </w:p>
        </w:tc>
        <w:tc>
          <w:tcPr>
            <w:tcW w:type="dxa" w:w="30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76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fall back to available devices</w:t>
            </w:r>
          </w:p>
        </w:tc>
      </w:tr>
      <w:tr>
        <w:tblPrEx>
          <w:shd w:val="clear" w:color="auto" w:fill="d0ddef"/>
        </w:tblPrEx>
        <w:trPr>
          <w:trHeight w:val="513" w:hRule="atLeast"/>
        </w:trPr>
        <w:tc>
          <w:tcPr>
            <w:tcW w:type="dxa" w:w="36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76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Availability and reliability of components (medium / low)</w:t>
            </w:r>
          </w:p>
        </w:tc>
        <w:tc>
          <w:tcPr>
            <w:tcW w:type="dxa" w:w="22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76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</w:t>
            </w:r>
          </w:p>
        </w:tc>
        <w:tc>
          <w:tcPr>
            <w:tcW w:type="dxa" w:w="30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76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design with flexibility to use alternative components</w:t>
            </w:r>
          </w:p>
        </w:tc>
      </w:tr>
    </w:tbl>
    <w:p>
      <w:pPr>
        <w:pStyle w:val="Body"/>
        <w:spacing w:after="120"/>
        <w:ind w:left="108" w:hanging="108"/>
        <w:rPr>
          <w:rFonts w:ascii="Calibri" w:cs="Calibri" w:hAnsi="Calibri" w:eastAsia="Calibri"/>
          <w:b w:val="1"/>
          <w:bCs w:val="1"/>
          <w:i w:val="1"/>
          <w:iCs w:val="1"/>
        </w:rPr>
      </w:pPr>
    </w:p>
    <w:p>
      <w:pPr>
        <w:pStyle w:val="Body"/>
        <w:spacing w:line="360" w:lineRule="auto"/>
        <w:rPr>
          <w:rFonts w:ascii="Calibri" w:cs="Calibri" w:hAnsi="Calibri" w:eastAsia="Calibri"/>
          <w:b w:val="1"/>
          <w:bCs w:val="1"/>
          <w:lang w:val="en-US"/>
        </w:rPr>
      </w:pPr>
    </w:p>
    <w:tbl>
      <w:tblPr>
        <w:tblW w:w="906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9062"/>
      </w:tblGrid>
      <w:tr>
        <w:tblPrEx>
          <w:shd w:val="clear" w:color="auto" w:fill="d0ddef"/>
        </w:tblPrEx>
        <w:trPr>
          <w:trHeight w:val="2566" w:hRule="atLeast"/>
        </w:trPr>
        <w:tc>
          <w:tcPr>
            <w:tcW w:type="dxa" w:w="906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rFonts w:ascii="Calibri" w:cs="Calibri" w:hAnsi="Calibri" w:eastAsia="Calibri"/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Definition critical risk: 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A critical risk is a plausible event or issue that could have a high adverse impact on the ability of the project to achieve its objectives. </w:t>
            </w:r>
          </w:p>
          <w:p>
            <w:pPr>
              <w:pStyle w:val="Body"/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"/>
              <w:bidi w:val="0"/>
              <w:ind w:left="0" w:right="0" w:firstLine="0"/>
              <w:jc w:val="left"/>
              <w:rPr>
                <w:rFonts w:ascii="Calibri" w:cs="Calibri" w:hAnsi="Calibri" w:eastAsia="Calibri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Level of likelihood to occur: Low/medium/high</w:t>
            </w:r>
          </w:p>
          <w:p>
            <w:pPr>
              <w:pStyle w:val="Body"/>
              <w:bidi w:val="0"/>
              <w:ind w:left="0" w:right="0" w:firstLine="0"/>
              <w:jc w:val="left"/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The likelihood is the estimated probability that the risk will materialise even after taking account of the mitigating measures put in place.</w:t>
            </w:r>
          </w:p>
          <w:p>
            <w:pPr>
              <w:pStyle w:val="Body"/>
              <w:rPr>
                <w:rFonts w:ascii="Calibri" w:cs="Calibri" w:hAnsi="Calibri" w:eastAsia="Calibri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"/>
              <w:bidi w:val="0"/>
              <w:ind w:left="0" w:right="0" w:firstLine="0"/>
              <w:jc w:val="left"/>
              <w:rPr>
                <w:rFonts w:ascii="Calibri" w:cs="Calibri" w:hAnsi="Calibri" w:eastAsia="Calibri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Calibri" w:hAnsi="Calibri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Level of severity: Low/medium/high</w:t>
            </w:r>
          </w:p>
          <w:p>
            <w:pPr>
              <w:pStyle w:val="Body"/>
              <w:bidi w:val="0"/>
              <w:spacing w:line="36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Calibri" w:hAnsi="Calibri"/>
                <w:b w:val="0"/>
                <w:bCs w:val="0"/>
                <w:sz w:val="20"/>
                <w:szCs w:val="20"/>
                <w:shd w:val="nil" w:color="auto" w:fill="auto"/>
                <w:rtl w:val="0"/>
                <w:lang w:val="en-US"/>
              </w:rPr>
              <w:t>The relative seriousness of the risk and the significance of its effect.</w:t>
            </w:r>
          </w:p>
        </w:tc>
      </w:tr>
    </w:tbl>
    <w:p>
      <w:pPr>
        <w:pStyle w:val="Body"/>
      </w:pPr>
      <w:r>
        <w:rPr>
          <w:rFonts w:ascii="Calibri" w:cs="Calibri" w:hAnsi="Calibri" w:eastAsia="Calibri"/>
          <w:b w:val="1"/>
          <w:bCs w:val="1"/>
          <w:lang w:val="en-US"/>
        </w:rPr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EC Square Sans Pro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footnotes.xml><?xml version="1.0" encoding="utf-8"?>
<w:footnot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m="http://schemas.openxmlformats.org/officeDocument/2006/math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  <w:footnote w:type="continuationNotice" w:id="-2">
    <w:p>
      <w:r>
        <w:t/>
      </w:r>
    </w:p>
  </w:footnote>
  <w:footnote w:id="1">
    <w:p>
      <w:pPr>
        <w:pStyle w:val="footnote text"/>
        <w:ind w:left="284" w:hanging="284"/>
      </w:pPr>
      <w:r>
        <w:rPr>
          <w:rFonts w:ascii="Calibri" w:cs="Calibri" w:hAnsi="Calibri" w:eastAsia="Calibri"/>
          <w:b w:val="1"/>
          <w:bCs w:val="1"/>
          <w:vertAlign w:val="superscript"/>
          <w:lang w:val="en-US"/>
        </w:rPr>
        <w:footnoteRef/>
      </w:r>
      <w:r>
        <w:rPr>
          <w:rFonts w:ascii="Calibri" w:hAnsi="Calibri"/>
          <w:rtl w:val="0"/>
          <w:lang w:val="en-US"/>
        </w:rPr>
        <w:t xml:space="preserve"> </w:t>
        <w:tab/>
        <w:t xml:space="preserve">You must include a data management plan (DMP) and a </w:t>
      </w:r>
      <w:r>
        <w:rPr>
          <w:rFonts w:ascii="Calibri" w:hAnsi="Calibri" w:hint="default"/>
          <w:rtl w:val="0"/>
          <w:lang w:val="en-US"/>
        </w:rPr>
        <w:t>‘</w:t>
      </w:r>
      <w:r>
        <w:rPr>
          <w:rFonts w:ascii="Calibri" w:hAnsi="Calibri"/>
          <w:rtl w:val="0"/>
          <w:lang w:val="en-US"/>
        </w:rPr>
        <w:t xml:space="preserve">plan for dissemination and exploitation including communication activities as  distinct deliverables within the first 6 months of the project.  The DMP will evolve during the lifetime of the project in order to present the status of the project's reflections on data management.  A template for such a plan is available in the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"https://ec.europa.eu/info/funding-tenders/opportunities/docs/2021-2027/common/guidance/om_en.pdf"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Online Manual</w:t>
      </w:r>
      <w:r>
        <w:rPr/>
        <w:fldChar w:fldCharType="end" w:fldLock="0"/>
      </w:r>
      <w:r>
        <w:rPr>
          <w:rFonts w:ascii="Calibri" w:hAnsi="Calibri"/>
          <w:rtl w:val="0"/>
          <w:lang w:val="en-US"/>
        </w:rPr>
        <w:t xml:space="preserve"> on the Funding &amp; Tenders Portal.</w:t>
      </w:r>
    </w:p>
  </w:footnote>
</w:footnotes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footnotePr>
    <w:numFmt w:val="decimal"/>
    <w:numStart w:val="1"/>
    <w:numRestart w:val="continuous"/>
    <w:footnote w:id="-1"/>
    <w:footnote w:id="0"/>
    <w:footnote w:id="-2"/>
  </w:footnotePr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EC Square Sans Pro" w:cs="EC Square Sans Pro" w:hAnsi="EC Square Sans Pro" w:eastAsia="EC Square Sans Pro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note text">
    <w:name w:val="footnote text"/>
    <w:next w:val="footnote tex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EC Square Sans Pro" w:cs="EC Square Sans Pro" w:hAnsi="EC Square Sans Pro" w:eastAsia="EC Square Sans Pro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Link">
    <w:name w:val="Link"/>
    <w:rPr>
      <w:outline w:val="0"/>
      <w:color w:val="0088cc"/>
      <w:u w:val="single" w:color="0088cc"/>
      <w14:textFill>
        <w14:solidFill>
          <w14:srgbClr w14:val="0088CC"/>
        </w14:solidFill>
      </w14:textFill>
    </w:rPr>
  </w:style>
  <w:style w:type="character" w:styleId="Hyperlink.0">
    <w:name w:val="Hyperlink.0"/>
    <w:basedOn w:val="Link"/>
    <w:next w:val="Hyperlink.0"/>
    <w:rPr>
      <w:rFonts w:ascii="Calibri" w:cs="Calibri" w:hAnsi="Calibri" w:eastAsia="Calib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otnotes" Target="footnotes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