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0F" w:rsidRDefault="00912D76">
      <w:pPr>
        <w:pStyle w:val="normal1"/>
        <w:spacing w:before="240" w:after="240" w:line="240" w:lineRule="auto"/>
        <w:rPr>
          <w:b/>
        </w:rPr>
      </w:pPr>
      <w:bookmarkStart w:id="0" w:name="_GoBack"/>
      <w:bookmarkEnd w:id="0"/>
      <w:r>
        <w:rPr>
          <w:b/>
        </w:rPr>
        <w:t>Title:</w:t>
      </w:r>
      <w:r>
        <w:rPr>
          <w:b/>
        </w:rPr>
        <w:br/>
      </w:r>
      <w:r>
        <w:t xml:space="preserve"> </w:t>
      </w:r>
      <w:r>
        <w:rPr>
          <w:b/>
        </w:rPr>
        <w:t xml:space="preserve">AI/ML-based </w:t>
      </w:r>
      <w:proofErr w:type="spellStart"/>
      <w:r>
        <w:rPr>
          <w:b/>
        </w:rPr>
        <w:t>Optimisation</w:t>
      </w:r>
      <w:proofErr w:type="spellEnd"/>
      <w:r>
        <w:rPr>
          <w:b/>
        </w:rPr>
        <w:t xml:space="preserve"> Services for Detector Ensembles in Hadron Physics Experiments</w:t>
      </w:r>
    </w:p>
    <w:p w:rsidR="005D070F" w:rsidRDefault="00912D76">
      <w:pPr>
        <w:pStyle w:val="normal1"/>
        <w:spacing w:before="240" w:after="240" w:line="240" w:lineRule="auto"/>
      </w:pPr>
      <w:r>
        <w:rPr>
          <w:b/>
        </w:rPr>
        <w:t>Author:</w:t>
      </w:r>
      <w:r>
        <w:rPr>
          <w:b/>
        </w:rPr>
        <w:br/>
      </w:r>
      <w:r>
        <w:t xml:space="preserve"> A. </w:t>
      </w:r>
      <w:proofErr w:type="spellStart"/>
      <w:r>
        <w:t>Belias</w:t>
      </w:r>
      <w:proofErr w:type="spellEnd"/>
      <w:r>
        <w:t xml:space="preserve"> (a.belias@gsi.de), GSI </w:t>
      </w:r>
      <w:proofErr w:type="spellStart"/>
      <w:r>
        <w:t>Helmholtzzentrum</w:t>
      </w:r>
      <w:proofErr w:type="spellEnd"/>
      <w:r>
        <w:t xml:space="preserve"> </w:t>
      </w:r>
      <w:proofErr w:type="spellStart"/>
      <w:r>
        <w:t>für</w:t>
      </w:r>
      <w:proofErr w:type="spellEnd"/>
      <w:r>
        <w:t xml:space="preserve"> </w:t>
      </w:r>
      <w:proofErr w:type="spellStart"/>
      <w:r>
        <w:t>Schwerionenforschung</w:t>
      </w:r>
      <w:proofErr w:type="spellEnd"/>
    </w:p>
    <w:p w:rsidR="005D070F" w:rsidRDefault="00912D76">
      <w:pPr>
        <w:pStyle w:val="Titre3"/>
        <w:keepNext w:val="0"/>
        <w:keepLines w:val="0"/>
        <w:spacing w:before="280"/>
        <w:rPr>
          <w:b/>
          <w:color w:val="000000"/>
          <w:sz w:val="26"/>
          <w:szCs w:val="26"/>
        </w:rPr>
      </w:pPr>
      <w:bookmarkStart w:id="1" w:name="_bc3bqx1orqya"/>
      <w:bookmarkEnd w:id="1"/>
      <w:r>
        <w:rPr>
          <w:b/>
          <w:color w:val="000000"/>
          <w:sz w:val="26"/>
          <w:szCs w:val="26"/>
        </w:rPr>
        <w:t>1. Research objectives</w:t>
      </w:r>
    </w:p>
    <w:p w:rsidR="005D070F" w:rsidRDefault="00912D76">
      <w:pPr>
        <w:pStyle w:val="normal1"/>
        <w:spacing w:before="240" w:after="240" w:line="240" w:lineRule="auto"/>
      </w:pPr>
      <w:r>
        <w:t>Hadron physics experiments often rely on the combined</w:t>
      </w:r>
      <w:r>
        <w:t xml:space="preserve"> performance of multiple detector systems operating in parallel. At GSI, and similarly in other laboratories, numerous detector technologies </w:t>
      </w:r>
      <w:proofErr w:type="gramStart"/>
      <w:r>
        <w:t>are currently tested</w:t>
      </w:r>
      <w:proofErr w:type="gramEnd"/>
      <w:r>
        <w:t xml:space="preserve"> in beam lines ahead of their full deployment at FAIR (Facility for Antiproton and Ion Research</w:t>
      </w:r>
      <w:r>
        <w:t xml:space="preserve">). Traditionally, each detector </w:t>
      </w:r>
      <w:proofErr w:type="gramStart"/>
      <w:r>
        <w:t xml:space="preserve">is </w:t>
      </w:r>
      <w:proofErr w:type="spellStart"/>
      <w:r>
        <w:t>optimised</w:t>
      </w:r>
      <w:proofErr w:type="spellEnd"/>
      <w:proofErr w:type="gramEnd"/>
      <w:r>
        <w:t xml:space="preserve"> individually during beam time. However, this approach does not fully account for the combined performance of detector ensembles, where factors such as geometry, relative positioning, shared passive materials, an</w:t>
      </w:r>
      <w:r>
        <w:t xml:space="preserve">d overlapping beam exposure can significantly influence the overall system </w:t>
      </w:r>
      <w:proofErr w:type="spellStart"/>
      <w:r>
        <w:t>behaviour</w:t>
      </w:r>
      <w:proofErr w:type="spellEnd"/>
      <w:r>
        <w:t>.</w:t>
      </w:r>
    </w:p>
    <w:p w:rsidR="005D070F" w:rsidRDefault="00912D76">
      <w:pPr>
        <w:pStyle w:val="normal1"/>
        <w:spacing w:before="240" w:after="240" w:line="240" w:lineRule="auto"/>
      </w:pPr>
      <w:r>
        <w:t xml:space="preserve">We propose the development of an AI/ML-powered </w:t>
      </w:r>
      <w:proofErr w:type="spellStart"/>
      <w:r>
        <w:t>optimisation</w:t>
      </w:r>
      <w:proofErr w:type="spellEnd"/>
      <w:r>
        <w:t xml:space="preserve"> framework that transforms how detector ensembles </w:t>
      </w:r>
      <w:proofErr w:type="gramStart"/>
      <w:r>
        <w:t>are designed, tuned, and deployed in beamlines for hadron phy</w:t>
      </w:r>
      <w:r>
        <w:t>sics</w:t>
      </w:r>
      <w:proofErr w:type="gramEnd"/>
      <w:r>
        <w:t xml:space="preserve">. The goal is to provide experimental users with a service that allows them to evaluate and </w:t>
      </w:r>
      <w:proofErr w:type="spellStart"/>
      <w:r>
        <w:t>optimise</w:t>
      </w:r>
      <w:proofErr w:type="spellEnd"/>
      <w:r>
        <w:t xml:space="preserve"> ensemble configurations in advance, based on real detector descriptors and beam conditions.</w:t>
      </w:r>
    </w:p>
    <w:p w:rsidR="005D070F" w:rsidRDefault="00912D76">
      <w:pPr>
        <w:pStyle w:val="normal1"/>
        <w:spacing w:before="240" w:after="240" w:line="240" w:lineRule="auto"/>
      </w:pPr>
      <w:r>
        <w:t>The core idea is to move from empirical tuning toward a pre</w:t>
      </w:r>
      <w:r>
        <w:t xml:space="preserve">dictive and service-based model that </w:t>
      </w:r>
      <w:proofErr w:type="gramStart"/>
      <w:r>
        <w:t>integrates</w:t>
      </w:r>
      <w:proofErr w:type="gramEnd"/>
      <w:r>
        <w:t xml:space="preserve"> multiple detector responses into high-dimensional performance maps. This enables data-driven </w:t>
      </w:r>
      <w:proofErr w:type="spellStart"/>
      <w:r>
        <w:t>optimisation</w:t>
      </w:r>
      <w:proofErr w:type="spellEnd"/>
      <w:r>
        <w:t xml:space="preserve"> of ensemble configurations for specific physics goals, such as particle identification, hadron/electro</w:t>
      </w:r>
      <w:r>
        <w:t>n separation, timing, and spatial resolution, under different beam energies and intensities.</w:t>
      </w:r>
    </w:p>
    <w:p w:rsidR="005D070F" w:rsidRDefault="00912D76">
      <w:pPr>
        <w:pStyle w:val="normal1"/>
        <w:spacing w:before="240" w:after="240" w:line="240" w:lineRule="auto"/>
      </w:pPr>
      <w:r>
        <w:t>The proposed system operates in two main phases:</w:t>
      </w:r>
    </w:p>
    <w:p w:rsidR="005D070F" w:rsidRDefault="00912D76">
      <w:pPr>
        <w:pStyle w:val="normal1"/>
        <w:spacing w:before="240" w:after="240" w:line="240" w:lineRule="auto"/>
      </w:pPr>
      <w:r>
        <w:rPr>
          <w:b/>
        </w:rPr>
        <w:t>Descriptor Encoding and Mapping:</w:t>
      </w:r>
      <w:r>
        <w:rPr>
          <w:b/>
        </w:rPr>
        <w:br/>
      </w:r>
      <w:r>
        <w:t xml:space="preserve"> Using AI/ML techniques, individual detector characteristics (such as geometry, m</w:t>
      </w:r>
      <w:r>
        <w:t xml:space="preserve">aterial layers, resolution, </w:t>
      </w:r>
      <w:proofErr w:type="gramStart"/>
      <w:r>
        <w:t>response</w:t>
      </w:r>
      <w:proofErr w:type="gramEnd"/>
      <w:r>
        <w:t xml:space="preserve"> functions) are encoded into an ensemble description. These </w:t>
      </w:r>
      <w:proofErr w:type="gramStart"/>
      <w:r>
        <w:t>are then mapped</w:t>
      </w:r>
      <w:proofErr w:type="gramEnd"/>
      <w:r>
        <w:t xml:space="preserve"> into a high-dimensional parameter space that captures both the beamline phase space and the spatial-temporal interactions of the detector setup.</w:t>
      </w:r>
      <w:r>
        <w:t xml:space="preserve"> This mapping acts as a surrogate model for ensemble performance.</w:t>
      </w:r>
    </w:p>
    <w:p w:rsidR="005D070F" w:rsidRDefault="00912D76">
      <w:pPr>
        <w:pStyle w:val="normal1"/>
        <w:spacing w:before="240" w:after="240" w:line="240" w:lineRule="auto"/>
      </w:pPr>
      <w:proofErr w:type="spellStart"/>
      <w:r>
        <w:rPr>
          <w:b/>
        </w:rPr>
        <w:t>Optimisation</w:t>
      </w:r>
      <w:proofErr w:type="spellEnd"/>
      <w:r>
        <w:rPr>
          <w:b/>
        </w:rPr>
        <w:t xml:space="preserve"> and User Guidance:</w:t>
      </w:r>
      <w:r>
        <w:rPr>
          <w:b/>
        </w:rPr>
        <w:br/>
      </w:r>
      <w:r>
        <w:t xml:space="preserve"> Based on the generated performance maps, an </w:t>
      </w:r>
      <w:proofErr w:type="spellStart"/>
      <w:r>
        <w:t>optimisation</w:t>
      </w:r>
      <w:proofErr w:type="spellEnd"/>
      <w:r>
        <w:t xml:space="preserve"> engine searches for configurations that </w:t>
      </w:r>
      <w:proofErr w:type="spellStart"/>
      <w:r>
        <w:t>maximise</w:t>
      </w:r>
      <w:proofErr w:type="spellEnd"/>
      <w:r>
        <w:t xml:space="preserve"> figures of merit (FOMs) relevant to the experiment.</w:t>
      </w:r>
      <w:r>
        <w:t xml:space="preserve"> These may include signal-to-noise ratio, detection efficiency, or separation power, depending on user-defined physics goals.</w:t>
      </w:r>
    </w:p>
    <w:p w:rsidR="005D070F" w:rsidRDefault="00912D76">
      <w:pPr>
        <w:pStyle w:val="normal1"/>
        <w:spacing w:before="240" w:after="240" w:line="240" w:lineRule="auto"/>
      </w:pPr>
      <w:r>
        <w:t>The first use case will focus on an ensemble composed of three established detector types: silicon-based trackers, micro-pattern g</w:t>
      </w:r>
      <w:r>
        <w:t xml:space="preserve">as detectors (MPGDs), and drift tubes, each originally developed for different experimental applications. Their combination forms a realistic prototype scenario to demonstrate the </w:t>
      </w:r>
      <w:proofErr w:type="spellStart"/>
      <w:r>
        <w:t>generalisability</w:t>
      </w:r>
      <w:proofErr w:type="spellEnd"/>
      <w:r>
        <w:t xml:space="preserve"> of the method. A second application area will address calor</w:t>
      </w:r>
      <w:r>
        <w:t xml:space="preserve">imeter systems, where AI/ML </w:t>
      </w:r>
      <w:proofErr w:type="gramStart"/>
      <w:r>
        <w:t>will be used</w:t>
      </w:r>
      <w:proofErr w:type="gramEnd"/>
      <w:r>
        <w:t xml:space="preserve"> to </w:t>
      </w:r>
      <w:proofErr w:type="spellStart"/>
      <w:r>
        <w:t>optimise</w:t>
      </w:r>
      <w:proofErr w:type="spellEnd"/>
      <w:r>
        <w:t xml:space="preserve"> energy flow mapping and segmentation strategies in sampling calorimeters.</w:t>
      </w:r>
    </w:p>
    <w:p w:rsidR="005D070F" w:rsidRDefault="00912D76">
      <w:pPr>
        <w:pStyle w:val="Titre3"/>
        <w:keepNext w:val="0"/>
        <w:keepLines w:val="0"/>
        <w:spacing w:before="280"/>
        <w:rPr>
          <w:b/>
          <w:color w:val="000000"/>
          <w:sz w:val="26"/>
          <w:szCs w:val="26"/>
        </w:rPr>
      </w:pPr>
      <w:bookmarkStart w:id="2" w:name="_d1ztn5e5zwi5"/>
      <w:bookmarkEnd w:id="2"/>
      <w:r>
        <w:rPr>
          <w:b/>
          <w:color w:val="000000"/>
          <w:sz w:val="26"/>
          <w:szCs w:val="26"/>
        </w:rPr>
        <w:lastRenderedPageBreak/>
        <w:t>2. Connection to Transnational Access infrastructures (TAs) and/or Virtual Access projects (VAs)</w:t>
      </w:r>
    </w:p>
    <w:p w:rsidR="005D070F" w:rsidRDefault="00912D76">
      <w:pPr>
        <w:pStyle w:val="normal1"/>
        <w:spacing w:before="240" w:after="240" w:line="240" w:lineRule="auto"/>
      </w:pPr>
      <w:r>
        <w:t>This effort directly contributes</w:t>
      </w:r>
      <w:r>
        <w:t xml:space="preserve"> to enhancing user services at GSI/FAIR, one of the pre-selected infrastructures under the INFRASERV call. The envisioned system will be implemented as a virtual access service, enabling experimental users </w:t>
      </w:r>
      <w:proofErr w:type="gramStart"/>
      <w:r>
        <w:t>to</w:t>
      </w:r>
      <w:proofErr w:type="gramEnd"/>
      <w:r>
        <w:t xml:space="preserve"> remotely:</w:t>
      </w:r>
    </w:p>
    <w:p w:rsidR="005D070F" w:rsidRDefault="00912D76">
      <w:pPr>
        <w:pStyle w:val="normal1"/>
        <w:numPr>
          <w:ilvl w:val="0"/>
          <w:numId w:val="2"/>
        </w:numPr>
        <w:spacing w:before="240" w:line="240" w:lineRule="auto"/>
      </w:pPr>
      <w:r>
        <w:t>Pre-configure and simulate detector e</w:t>
      </w:r>
      <w:r>
        <w:t>nsembles before beam time</w:t>
      </w:r>
      <w:r>
        <w:br/>
      </w:r>
    </w:p>
    <w:p w:rsidR="005D070F" w:rsidRDefault="00912D76">
      <w:pPr>
        <w:pStyle w:val="normal1"/>
        <w:numPr>
          <w:ilvl w:val="0"/>
          <w:numId w:val="2"/>
        </w:numPr>
        <w:spacing w:line="240" w:lineRule="auto"/>
      </w:pPr>
      <w:r>
        <w:t>Explore performance trade-offs across a range of beam conditions</w:t>
      </w:r>
      <w:r>
        <w:br/>
      </w:r>
    </w:p>
    <w:p w:rsidR="005D070F" w:rsidRDefault="00912D76">
      <w:pPr>
        <w:pStyle w:val="normal1"/>
        <w:numPr>
          <w:ilvl w:val="0"/>
          <w:numId w:val="2"/>
        </w:numPr>
        <w:spacing w:after="240" w:line="240" w:lineRule="auto"/>
      </w:pPr>
      <w:r>
        <w:t>Receive guidance on optimal placement and combination of detector systems</w:t>
      </w:r>
      <w:r>
        <w:br/>
      </w:r>
    </w:p>
    <w:p w:rsidR="005D070F" w:rsidRDefault="00912D76">
      <w:pPr>
        <w:pStyle w:val="normal1"/>
        <w:spacing w:before="240" w:after="240" w:line="240" w:lineRule="auto"/>
      </w:pPr>
      <w:r>
        <w:t xml:space="preserve">Such capabilities </w:t>
      </w:r>
      <w:proofErr w:type="gramStart"/>
      <w:r>
        <w:t>are expected</w:t>
      </w:r>
      <w:proofErr w:type="gramEnd"/>
      <w:r>
        <w:t xml:space="preserve"> to significantly reduce beamline setup times, increase th</w:t>
      </w:r>
      <w:r>
        <w:t xml:space="preserve">e efficiency of data-taking periods, and improve the quality and reproducibility of results for hadron physics experiments. In addition, the service can serve as a training tool for new users, helping them understand the complex interplay between detector </w:t>
      </w:r>
      <w:r>
        <w:t>configuration and physics performance.</w:t>
      </w:r>
    </w:p>
    <w:p w:rsidR="005D070F" w:rsidRDefault="00912D76">
      <w:pPr>
        <w:pStyle w:val="Titre3"/>
        <w:keepNext w:val="0"/>
        <w:keepLines w:val="0"/>
        <w:spacing w:before="280"/>
        <w:rPr>
          <w:b/>
          <w:color w:val="000000"/>
          <w:sz w:val="26"/>
          <w:szCs w:val="26"/>
        </w:rPr>
      </w:pPr>
      <w:bookmarkStart w:id="3" w:name="_duixwhvre51u"/>
      <w:bookmarkEnd w:id="3"/>
      <w:r>
        <w:rPr>
          <w:b/>
          <w:color w:val="000000"/>
          <w:sz w:val="26"/>
          <w:szCs w:val="26"/>
        </w:rPr>
        <w:t>3. Estimated budget request</w:t>
      </w:r>
    </w:p>
    <w:p w:rsidR="005D070F" w:rsidRDefault="00912D76">
      <w:pPr>
        <w:pStyle w:val="Corpsdetexte"/>
        <w:spacing w:before="240" w:after="240" w:line="240" w:lineRule="auto"/>
      </w:pPr>
      <w:r>
        <w:t>We request funding to support two full-time PhD positions (</w:t>
      </w:r>
      <w:proofErr w:type="spellStart"/>
      <w:r>
        <w:t>TVöD</w:t>
      </w:r>
      <w:proofErr w:type="spellEnd"/>
      <w:r>
        <w:t xml:space="preserve"> E13 equivalent) and partial senior staff involvement (estimated at 40% of a full-time position) over a period of three years.</w:t>
      </w:r>
      <w:r>
        <w:t xml:space="preserve"> The two PhD researchers </w:t>
      </w:r>
      <w:proofErr w:type="gramStart"/>
      <w:r>
        <w:t>may be hired</w:t>
      </w:r>
      <w:proofErr w:type="gramEnd"/>
      <w:r>
        <w:t xml:space="preserve"> simultaneously or with staggered timelines to ensure continuity and overlap during development, integration, and experimental validation phases.</w:t>
      </w:r>
    </w:p>
    <w:p w:rsidR="005D070F" w:rsidRDefault="00912D76">
      <w:pPr>
        <w:pStyle w:val="Corpsdetexte"/>
      </w:pPr>
      <w:r>
        <w:t>In addition, we request travel support to cover participation in collabor</w:t>
      </w:r>
      <w:r>
        <w:t>ation meetings, workshops, and international conferences. This includes two national (Germany-based) trips and one international (European) trip annually for each PhD student, as well as for the project leader.</w:t>
      </w:r>
    </w:p>
    <w:p w:rsidR="005D070F" w:rsidRDefault="00912D76">
      <w:pPr>
        <w:pStyle w:val="Corpsdetexte"/>
      </w:pPr>
      <w:r>
        <w:t xml:space="preserve">A modest budget (~€10,000) </w:t>
      </w:r>
      <w:proofErr w:type="gramStart"/>
      <w:r>
        <w:t>is foreseen</w:t>
      </w:r>
      <w:proofErr w:type="gramEnd"/>
      <w:r>
        <w:t xml:space="preserve"> to cov</w:t>
      </w:r>
      <w:r>
        <w:t>er materials and operational expenses during beam time, including detector operation logistics and data transfers to GSI’s computing infrastructure (Green Cube). All required hardware, including detectors and computing access (e.g., GPU servers), will be p</w:t>
      </w:r>
      <w:r>
        <w:t>rovided by GSI.</w:t>
      </w:r>
    </w:p>
    <w:p w:rsidR="005D070F" w:rsidRDefault="00912D76">
      <w:pPr>
        <w:pStyle w:val="Corpsdetexte"/>
      </w:pPr>
      <w:r>
        <w:t xml:space="preserve">Taking into account institutional overheads at a standard rate (1.27 factor), the total estimated budget request amounts to approximately </w:t>
      </w:r>
      <w:r>
        <w:rPr>
          <w:rStyle w:val="lev"/>
        </w:rPr>
        <w:t>€550,000</w:t>
      </w:r>
      <w:r>
        <w:t xml:space="preserve"> over three years.</w:t>
      </w:r>
    </w:p>
    <w:p w:rsidR="005D070F" w:rsidRDefault="005D070F">
      <w:pPr>
        <w:pStyle w:val="normal1"/>
        <w:spacing w:before="240" w:after="240" w:line="240" w:lineRule="auto"/>
      </w:pPr>
    </w:p>
    <w:p w:rsidR="005D070F" w:rsidRDefault="00912D76">
      <w:pPr>
        <w:pStyle w:val="Titre3"/>
        <w:keepNext w:val="0"/>
        <w:keepLines w:val="0"/>
        <w:spacing w:before="280"/>
        <w:rPr>
          <w:b/>
          <w:color w:val="000000"/>
          <w:sz w:val="26"/>
          <w:szCs w:val="26"/>
        </w:rPr>
      </w:pPr>
      <w:bookmarkStart w:id="4" w:name="_lw5m14wyfwh"/>
      <w:bookmarkEnd w:id="4"/>
      <w:r>
        <w:rPr>
          <w:b/>
          <w:color w:val="000000"/>
          <w:sz w:val="26"/>
          <w:szCs w:val="26"/>
        </w:rPr>
        <w:t>4. Participating and partner institutions</w:t>
      </w:r>
    </w:p>
    <w:p w:rsidR="005D070F" w:rsidRDefault="00912D76">
      <w:pPr>
        <w:pStyle w:val="normal1"/>
        <w:numPr>
          <w:ilvl w:val="0"/>
          <w:numId w:val="1"/>
        </w:numPr>
        <w:spacing w:before="240" w:after="240" w:line="240" w:lineRule="auto"/>
      </w:pPr>
      <w:r>
        <w:t xml:space="preserve">GSI </w:t>
      </w:r>
      <w:proofErr w:type="spellStart"/>
      <w:r>
        <w:t>Helmholtzzentrum</w:t>
      </w:r>
      <w:proofErr w:type="spellEnd"/>
      <w:r>
        <w:t xml:space="preserve"> </w:t>
      </w:r>
      <w:proofErr w:type="spellStart"/>
      <w:r>
        <w:t>für</w:t>
      </w:r>
      <w:proofErr w:type="spellEnd"/>
      <w:r>
        <w:t xml:space="preserve"> </w:t>
      </w:r>
      <w:proofErr w:type="spellStart"/>
      <w:r>
        <w:t>Schwerionenforschung</w:t>
      </w:r>
      <w:proofErr w:type="spellEnd"/>
      <w:r>
        <w:t xml:space="preserve"> (Germany)</w:t>
      </w:r>
    </w:p>
    <w:p w:rsidR="005D070F" w:rsidRDefault="005D070F">
      <w:pPr>
        <w:pStyle w:val="normal1"/>
        <w:spacing w:before="240" w:after="240" w:line="240" w:lineRule="auto"/>
      </w:pPr>
    </w:p>
    <w:p w:rsidR="005D070F" w:rsidRDefault="005D070F">
      <w:pPr>
        <w:pStyle w:val="normal1"/>
      </w:pPr>
    </w:p>
    <w:sectPr w:rsidR="005D070F">
      <w:pgSz w:w="12240" w:h="15840"/>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default"/>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auto"/>
    <w:pitch w:val="default"/>
  </w:font>
  <w:font w:name="OpenSymbol">
    <w:altName w:val="Arial Unicode MS"/>
    <w:charset w:val="01"/>
    <w:family w:val="auto"/>
    <w:pitch w:val="default"/>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03836"/>
    <w:multiLevelType w:val="multilevel"/>
    <w:tmpl w:val="626A132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3E934313"/>
    <w:multiLevelType w:val="multilevel"/>
    <w:tmpl w:val="D2A0EA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5F74DF2"/>
    <w:multiLevelType w:val="multilevel"/>
    <w:tmpl w:val="101A260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0F"/>
    <w:rsid w:val="005D070F"/>
    <w:rsid w:val="00912D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EF4DB-DADF-4595-88F0-ECD6EC37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Titre1">
    <w:name w:val="heading 1"/>
    <w:basedOn w:val="normal1"/>
    <w:next w:val="normal1"/>
    <w:qFormat/>
    <w:pPr>
      <w:keepNext/>
      <w:keepLines/>
      <w:spacing w:before="400" w:after="120" w:line="240" w:lineRule="auto"/>
      <w:outlineLvl w:val="0"/>
    </w:pPr>
    <w:rPr>
      <w:sz w:val="40"/>
      <w:szCs w:val="40"/>
    </w:rPr>
  </w:style>
  <w:style w:type="paragraph" w:styleId="Titre2">
    <w:name w:val="heading 2"/>
    <w:basedOn w:val="normal1"/>
    <w:next w:val="normal1"/>
    <w:qFormat/>
    <w:pPr>
      <w:keepNext/>
      <w:keepLines/>
      <w:spacing w:before="360" w:after="120" w:line="240" w:lineRule="auto"/>
      <w:outlineLvl w:val="1"/>
    </w:pPr>
    <w:rPr>
      <w:sz w:val="32"/>
      <w:szCs w:val="32"/>
    </w:rPr>
  </w:style>
  <w:style w:type="paragraph" w:styleId="Titre3">
    <w:name w:val="heading 3"/>
    <w:basedOn w:val="normal1"/>
    <w:next w:val="normal1"/>
    <w:qFormat/>
    <w:pPr>
      <w:keepNext/>
      <w:keepLines/>
      <w:spacing w:before="320" w:after="80" w:line="240" w:lineRule="auto"/>
      <w:outlineLvl w:val="2"/>
    </w:pPr>
    <w:rPr>
      <w:color w:val="434343"/>
      <w:sz w:val="28"/>
      <w:szCs w:val="28"/>
    </w:rPr>
  </w:style>
  <w:style w:type="paragraph" w:styleId="Titre4">
    <w:name w:val="heading 4"/>
    <w:basedOn w:val="normal1"/>
    <w:next w:val="normal1"/>
    <w:qFormat/>
    <w:pPr>
      <w:keepNext/>
      <w:keepLines/>
      <w:spacing w:before="280" w:after="80" w:line="240" w:lineRule="auto"/>
      <w:outlineLvl w:val="3"/>
    </w:pPr>
    <w:rPr>
      <w:color w:val="666666"/>
      <w:sz w:val="24"/>
      <w:szCs w:val="24"/>
    </w:rPr>
  </w:style>
  <w:style w:type="paragraph" w:styleId="Titre5">
    <w:name w:val="heading 5"/>
    <w:basedOn w:val="normal1"/>
    <w:next w:val="normal1"/>
    <w:qFormat/>
    <w:pPr>
      <w:keepNext/>
      <w:keepLines/>
      <w:spacing w:before="240" w:after="80" w:line="240" w:lineRule="auto"/>
      <w:outlineLvl w:val="4"/>
    </w:pPr>
    <w:rPr>
      <w:color w:val="666666"/>
    </w:rPr>
  </w:style>
  <w:style w:type="paragraph" w:styleId="Titre6">
    <w:name w:val="heading 6"/>
    <w:basedOn w:val="normal1"/>
    <w:next w:val="normal1"/>
    <w:qFormat/>
    <w:pPr>
      <w:keepNext/>
      <w:keepLines/>
      <w:spacing w:before="240" w:after="80" w:line="240" w:lineRule="auto"/>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Noto Sans Devanagari"/>
      <w:sz w:val="28"/>
      <w:szCs w:val="28"/>
    </w:rPr>
  </w:style>
  <w:style w:type="paragraph" w:styleId="Corpsdetexte">
    <w:name w:val="Body Text"/>
    <w:basedOn w:val="Normal"/>
    <w:pPr>
      <w:spacing w:after="140"/>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normal1">
    <w:name w:val="normal1"/>
    <w:qFormat/>
    <w:pPr>
      <w:spacing w:line="276" w:lineRule="auto"/>
    </w:pPr>
  </w:style>
  <w:style w:type="paragraph" w:styleId="Titre">
    <w:name w:val="Title"/>
    <w:basedOn w:val="normal1"/>
    <w:next w:val="normal1"/>
    <w:qFormat/>
    <w:pPr>
      <w:keepNext/>
      <w:keepLines/>
      <w:spacing w:after="60" w:line="240" w:lineRule="auto"/>
    </w:pPr>
    <w:rPr>
      <w:sz w:val="52"/>
      <w:szCs w:val="52"/>
    </w:rPr>
  </w:style>
  <w:style w:type="paragraph" w:styleId="Sous-titre">
    <w:name w:val="Subtitle"/>
    <w:basedOn w:val="normal1"/>
    <w:next w:val="normal1"/>
    <w:qFormat/>
    <w:pPr>
      <w:keepNext/>
      <w:keepLines/>
      <w:spacing w:after="320" w:line="240" w:lineRule="auto"/>
    </w:pPr>
    <w:rPr>
      <w:color w:val="666666"/>
      <w:sz w:val="30"/>
      <w:szCs w:val="30"/>
    </w:rPr>
  </w:style>
  <w:style w:type="table" w:customStyle="1" w:styleId="TableNormal">
    <w:name w:val="Table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4354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SUBATECH</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dc:description/>
  <cp:lastModifiedBy>Emine AMETSHAEVA</cp:lastModifiedBy>
  <cp:revision>2</cp:revision>
  <dcterms:created xsi:type="dcterms:W3CDTF">2025-06-16T14:55:00Z</dcterms:created>
  <dcterms:modified xsi:type="dcterms:W3CDTF">2025-06-16T14:55:00Z</dcterms:modified>
  <dc:language>en-US</dc:language>
</cp:coreProperties>
</file>