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b/>
          <w:b/>
          <w:sz w:val="24"/>
        </w:rPr>
      </w:pPr>
      <w:r>
        <w:rPr>
          <w:rFonts w:cs="Times New Roman" w:ascii="Times New Roman" w:hAnsi="Times New Roman"/>
          <w:b/>
          <w:sz w:val="24"/>
        </w:rPr>
        <w:t>Template NA</w:t>
      </w:r>
    </w:p>
    <w:tbl>
      <w:tblPr>
        <w:tblW w:w="5000" w:type="pct"/>
        <w:jc w:val="center"/>
        <w:tblInd w:w="0" w:type="dxa"/>
        <w:tblCellMar>
          <w:top w:w="0" w:type="dxa"/>
          <w:left w:w="108" w:type="dxa"/>
          <w:bottom w:w="0" w:type="dxa"/>
          <w:right w:w="108" w:type="dxa"/>
        </w:tblCellMar>
        <w:tblLook w:noVBand="1" w:val="04a0" w:noHBand="0" w:lastColumn="0" w:firstColumn="1" w:lastRow="0" w:firstRow="1"/>
      </w:tblPr>
      <w:tblGrid>
        <w:gridCol w:w="2453"/>
        <w:gridCol w:w="914"/>
        <w:gridCol w:w="2408"/>
        <w:gridCol w:w="3296"/>
      </w:tblGrid>
      <w:tr>
        <w:trPr>
          <w:trHeight w:val="340" w:hRule="atLeast"/>
        </w:trPr>
        <w:tc>
          <w:tcPr>
            <w:tcW w:w="24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Work package number</w:t>
            </w:r>
          </w:p>
        </w:tc>
        <w:tc>
          <w:tcPr>
            <w:tcW w:w="91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ヒラギノ角ゴ Pro W3" w:cs="Times New Roman"/>
                <w:color w:val="000000"/>
                <w:sz w:val="24"/>
                <w:szCs w:val="24"/>
                <w:lang w:val="en-GB"/>
              </w:rPr>
            </w:pPr>
            <w:r>
              <w:rPr>
                <w:rFonts w:eastAsia="ヒラギノ角ゴ Pro W3" w:cs="Times New Roman" w:ascii="Times New Roman" w:hAnsi="Times New Roman"/>
                <w:color w:val="000000"/>
                <w:sz w:val="24"/>
                <w:szCs w:val="24"/>
                <w:lang w:val="en-GB"/>
              </w:rPr>
              <w:t>WP</w:t>
            </w:r>
            <w:r>
              <w:rPr>
                <w:rFonts w:cs="Times New Roman" w:ascii="Times New Roman" w:hAnsi="Times New Roman"/>
                <w:sz w:val="24"/>
                <w:szCs w:val="24"/>
              </w:rPr>
              <w:t>13</w:t>
            </w:r>
          </w:p>
        </w:tc>
        <w:tc>
          <w:tcPr>
            <w:tcW w:w="240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ヒラギノ角ゴ Pro W3" w:cs="Times New Roman"/>
                <w:b/>
                <w:b/>
                <w:color w:val="000000"/>
                <w:sz w:val="24"/>
                <w:szCs w:val="24"/>
                <w:lang w:val="en-GB"/>
              </w:rPr>
            </w:pPr>
            <w:r>
              <w:rPr>
                <w:rFonts w:eastAsia="ヒラギノ角ゴ Pro W3" w:cs="Times New Roman" w:ascii="Times New Roman" w:hAnsi="Times New Roman"/>
                <w:b/>
                <w:color w:val="000000"/>
                <w:sz w:val="24"/>
                <w:szCs w:val="24"/>
                <w:lang w:val="en-GB"/>
              </w:rPr>
              <w:t>Start date</w:t>
            </w:r>
          </w:p>
        </w:tc>
        <w:tc>
          <w:tcPr>
            <w:tcW w:w="329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ヒラギノ角ゴ Pro W3" w:cs="Times New Roman"/>
                <w:color w:val="000000"/>
                <w:sz w:val="24"/>
                <w:szCs w:val="24"/>
                <w:lang w:val="en-GB"/>
              </w:rPr>
            </w:pPr>
            <w:r>
              <w:rPr>
                <w:rFonts w:eastAsia="ヒラギノ角ゴ Pro W3" w:cs="Times New Roman" w:ascii="Times New Roman" w:hAnsi="Times New Roman"/>
                <w:color w:val="000000"/>
                <w:sz w:val="24"/>
                <w:szCs w:val="24"/>
                <w:lang w:val="en-GB"/>
              </w:rPr>
              <w:t>01/06/2019</w:t>
            </w:r>
          </w:p>
        </w:tc>
      </w:tr>
      <w:tr>
        <w:trPr>
          <w:trHeight w:val="340" w:hRule="atLeast"/>
        </w:trPr>
        <w:tc>
          <w:tcPr>
            <w:tcW w:w="24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Activity Type</w:t>
            </w:r>
          </w:p>
        </w:tc>
        <w:tc>
          <w:tcPr>
            <w:tcW w:w="6618"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Networking activity</w:t>
            </w:r>
          </w:p>
        </w:tc>
      </w:tr>
      <w:tr>
        <w:trPr>
          <w:trHeight w:val="340" w:hRule="atLeast"/>
        </w:trPr>
        <w:tc>
          <w:tcPr>
            <w:tcW w:w="24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Work package acronym</w:t>
            </w:r>
          </w:p>
        </w:tc>
        <w:tc>
          <w:tcPr>
            <w:tcW w:w="6618"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t>NA2-Small-x</w:t>
            </w:r>
          </w:p>
        </w:tc>
      </w:tr>
      <w:tr>
        <w:trPr>
          <w:trHeight w:val="340" w:hRule="atLeast"/>
        </w:trPr>
        <w:tc>
          <w:tcPr>
            <w:tcW w:w="245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Work package title</w:t>
            </w:r>
          </w:p>
        </w:tc>
        <w:tc>
          <w:tcPr>
            <w:tcW w:w="6618"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GB" w:eastAsia="en-GB"/>
              </w:rPr>
            </w:pPr>
            <w:r>
              <w:rPr>
                <w:rFonts w:cs="Times New Roman" w:ascii="Times New Roman" w:hAnsi="Times New Roman"/>
                <w:sz w:val="24"/>
                <w:szCs w:val="24"/>
                <w:lang w:val="en-US"/>
              </w:rPr>
              <w:t>Small-x Physics at the LHC and future DIS experiments</w:t>
            </w:r>
          </w:p>
        </w:tc>
      </w:tr>
    </w:tbl>
    <w:p>
      <w:pPr>
        <w:pStyle w:val="Normal"/>
        <w:rPr>
          <w:rFonts w:ascii="Times New Roman" w:hAnsi="Times New Roman" w:cs="Times New Roman"/>
          <w:b/>
          <w:b/>
          <w:sz w:val="24"/>
          <w:lang w:val="en-US"/>
        </w:rPr>
      </w:pPr>
      <w:r>
        <w:rPr>
          <w:rFonts w:cs="Times New Roman" w:ascii="Times New Roman" w:hAnsi="Times New Roman"/>
          <w:b/>
          <w:sz w:val="24"/>
          <w:lang w:val="en-US"/>
        </w:rPr>
      </w:r>
    </w:p>
    <w:p>
      <w:pPr>
        <w:pStyle w:val="Normal"/>
        <w:keepNext w:val="true"/>
        <w:keepLines/>
        <w:numPr>
          <w:ilvl w:val="0"/>
          <w:numId w:val="1"/>
        </w:numPr>
        <w:spacing w:before="240" w:after="0"/>
        <w:ind w:left="284" w:hanging="284"/>
        <w:jc w:val="both"/>
        <w:outlineLvl w:val="0"/>
        <w:rPr>
          <w:rFonts w:ascii="Times New Roman" w:hAnsi="Times New Roman" w:eastAsia="" w:cs="" w:cstheme="majorBidi" w:eastAsiaTheme="majorEastAsia"/>
          <w:color w:val="0070C0"/>
          <w:sz w:val="28"/>
          <w:szCs w:val="32"/>
          <w:lang w:val="en-US"/>
        </w:rPr>
      </w:pPr>
      <w:r>
        <w:rPr>
          <w:rFonts w:eastAsia="" w:cs="" w:ascii="Times New Roman" w:hAnsi="Times New Roman" w:cstheme="majorBidi" w:eastAsiaTheme="majorEastAsia"/>
          <w:color w:val="0070C0"/>
          <w:sz w:val="28"/>
          <w:szCs w:val="32"/>
          <w:lang w:val="en-US"/>
        </w:rPr>
        <w:t>Work carried out and overview of progress</w:t>
      </w:r>
    </w:p>
    <w:p>
      <w:pPr>
        <w:pStyle w:val="Normal"/>
        <w:keepNext w:val="true"/>
        <w:keepLines/>
        <w:numPr>
          <w:ilvl w:val="1"/>
          <w:numId w:val="1"/>
        </w:numPr>
        <w:spacing w:before="40" w:after="0"/>
        <w:ind w:left="567" w:hanging="567"/>
        <w:outlineLvl w:val="1"/>
        <w:rPr>
          <w:rFonts w:ascii="Times New Roman" w:hAnsi="Times New Roman" w:eastAsia="" w:cs="" w:cstheme="majorBidi" w:eastAsiaTheme="majorEastAsia"/>
          <w:b/>
          <w:b/>
          <w:sz w:val="24"/>
          <w:szCs w:val="26"/>
          <w:lang w:val="en-US"/>
        </w:rPr>
      </w:pPr>
      <w:r>
        <w:rPr>
          <w:rFonts w:eastAsia="" w:cs="" w:ascii="Times New Roman" w:hAnsi="Times New Roman" w:cstheme="majorBidi" w:eastAsiaTheme="majorEastAsia"/>
          <w:b/>
          <w:sz w:val="24"/>
          <w:szCs w:val="26"/>
          <w:lang w:val="en-US"/>
        </w:rPr>
        <w:t>Project objectives</w:t>
      </w:r>
    </w:p>
    <w:p>
      <w:pPr>
        <w:pStyle w:val="Normal"/>
        <w:spacing w:lineRule="auto" w:line="240" w:before="0" w:after="0"/>
        <w:jc w:val="both"/>
        <w:rPr>
          <w:rFonts w:ascii="Times New Roman" w:hAnsi="Times New Roman" w:cs="Times New Roman"/>
          <w:i/>
          <w:i/>
          <w:lang w:val="en-US"/>
        </w:rPr>
      </w:pPr>
      <w:r>
        <w:rPr>
          <w:rFonts w:cs="Times New Roman" w:ascii="Times New Roman" w:hAnsi="Times New Roman"/>
          <w:i/>
          <w:lang w:val="en-US"/>
        </w:rPr>
        <w:t>[Please give an overview of the project objectives for the third reporting period (June 2022 – July 2024), with regard to the overall objectives as described in the Annex 1 of the Grant Agreement and summarized below.]</w:t>
      </w:r>
    </w:p>
    <w:p>
      <w:pPr>
        <w:pStyle w:val="Normal"/>
        <w:spacing w:lineRule="auto" w:line="240" w:before="0" w:after="0"/>
        <w:jc w:val="both"/>
        <w:rPr>
          <w:rFonts w:ascii="Times New Roman" w:hAnsi="Times New Roman" w:cs="Times New Roman"/>
          <w:i/>
          <w:i/>
          <w:lang w:val="en-US"/>
        </w:rPr>
      </w:pPr>
      <w:r>
        <w:rPr>
          <w:rFonts w:cs="Times New Roman" w:ascii="Times New Roman" w:hAnsi="Times New Roman"/>
          <w:i/>
          <w:lang w:val="en-US"/>
        </w:rPr>
      </w:r>
    </w:p>
    <w:p>
      <w:pPr>
        <w:pStyle w:val="Normal"/>
        <w:spacing w:lineRule="auto" w:line="240" w:before="0" w:after="0"/>
        <w:jc w:val="both"/>
        <w:rPr>
          <w:rFonts w:ascii="Times New Roman" w:hAnsi="Times New Roman" w:cs="Times New Roman"/>
          <w:sz w:val="20"/>
          <w:lang w:val="en-US"/>
        </w:rPr>
      </w:pPr>
      <w:r>
        <w:rPr>
          <w:rFonts w:eastAsia="Times New Roman" w:cs="Times New Roman" w:ascii="Times New Roman" w:hAnsi="Times New Roman"/>
          <w:sz w:val="24"/>
          <w:szCs w:val="25"/>
          <w:lang w:val="en-US" w:eastAsia="en-GB"/>
        </w:rPr>
        <w:t>The o</w:t>
      </w:r>
      <w:r>
        <w:rPr>
          <w:rFonts w:eastAsia="Times New Roman" w:cs="Times New Roman" w:ascii="Times New Roman" w:hAnsi="Times New Roman"/>
          <w:sz w:val="24"/>
          <w:szCs w:val="25"/>
          <w:lang w:val="en-US" w:eastAsia="en-GB"/>
        </w:rPr>
        <w:t>bjective of this WP is t</w:t>
      </w:r>
      <w:r>
        <w:rPr>
          <w:rFonts w:eastAsia="Times New Roman" w:cs="Times New Roman" w:ascii="Times New Roman" w:hAnsi="Times New Roman"/>
          <w:sz w:val="24"/>
          <w:szCs w:val="25"/>
          <w:lang w:val="en-US" w:eastAsia="en-GB"/>
        </w:rPr>
        <w:t>o</w:t>
      </w:r>
      <w:r>
        <w:rPr>
          <w:rFonts w:eastAsia="Times New Roman" w:cs="Times New Roman" w:ascii="Times New Roman" w:hAnsi="Times New Roman"/>
          <w:sz w:val="24"/>
          <w:szCs w:val="25"/>
          <w:lang w:val="en-US" w:eastAsia="en-GB"/>
        </w:rPr>
        <w:t xml:space="preserve"> strengthen the communication and collaboration between the European groups involved in theoretical and phenomenological studies in small-x physics.</w:t>
      </w:r>
    </w:p>
    <w:p>
      <w:pPr>
        <w:pStyle w:val="Normal"/>
        <w:spacing w:lineRule="auto" w:line="240" w:before="0" w:after="0"/>
        <w:jc w:val="both"/>
        <w:rPr>
          <w:rFonts w:ascii="Times New Roman" w:hAnsi="Times New Roman" w:eastAsia="Times New Roman" w:cs="Times New Roman"/>
          <w:sz w:val="24"/>
          <w:szCs w:val="25"/>
          <w:lang w:val="en-US" w:eastAsia="en-GB"/>
        </w:rPr>
      </w:pPr>
      <w:r>
        <w:rPr>
          <w:rFonts w:eastAsia="Times New Roman" w:cs="Times New Roman" w:ascii="Times New Roman" w:hAnsi="Times New Roman"/>
          <w:sz w:val="24"/>
          <w:szCs w:val="25"/>
          <w:lang w:val="en-US" w:eastAsia="en-GB"/>
        </w:rPr>
        <w:t>Understanding the dynamics of the strong interaction at high energies is one of the central topics in nuclear and particle physics. A genuinely new, non-linear regime of QCD is expected to occur at high energies. Here the Color Glass Condensate (CGC) effective theory provides a controlled weak coupling description applicable in spite of the non-perturbatively large gluonic field strengths. Hints of the breaking of fixed-order perturbation theory have been found at HERA and RHIC, but only data from the LHC and future DIS experiments can unambiguously establish the existence of the non-linear regime.</w:t>
      </w:r>
      <w:r>
        <w:rPr>
          <w:rFonts w:cs="Times New Roman" w:ascii="Times New Roman" w:hAnsi="Times New Roman"/>
          <w:sz w:val="24"/>
          <w:szCs w:val="25"/>
          <w:lang w:val="en-US"/>
        </w:rPr>
        <w:t xml:space="preserve"> </w:t>
      </w:r>
      <w:r>
        <w:rPr>
          <w:rFonts w:eastAsia="Times New Roman" w:cs="Times New Roman" w:ascii="Times New Roman" w:hAnsi="Times New Roman"/>
          <w:sz w:val="24"/>
          <w:szCs w:val="25"/>
          <w:lang w:val="en-US" w:eastAsia="en-GB"/>
        </w:rPr>
        <w:t>The behavior of gluons carrying only a small fraction x of the proton and nuclear momentum determines the bulk of particle production in relativistic heavy ion collisions. These gluons provide the initial conditions for the subsequent evolution towards a quark-gluon plasma in nuclear collisions at the LHC. A good control of these initial conditions is paramount for understanding the emergence of collectivity at the macroscopic level from the microscopic QCD dynamics.</w:t>
      </w:r>
    </w:p>
    <w:p>
      <w:pPr>
        <w:pStyle w:val="Normal"/>
        <w:rPr>
          <w:lang w:val="en-US"/>
        </w:rPr>
      </w:pPr>
      <w:r>
        <w:rPr>
          <w:lang w:val="en-US"/>
        </w:rPr>
      </w:r>
    </w:p>
    <w:p>
      <w:pPr>
        <w:pStyle w:val="Normal"/>
        <w:keepNext w:val="true"/>
        <w:keepLines/>
        <w:numPr>
          <w:ilvl w:val="1"/>
          <w:numId w:val="1"/>
        </w:numPr>
        <w:spacing w:before="40" w:after="0"/>
        <w:ind w:left="426" w:hanging="426"/>
        <w:jc w:val="both"/>
        <w:outlineLvl w:val="1"/>
        <w:rPr>
          <w:rFonts w:ascii="Times New Roman" w:hAnsi="Times New Roman" w:eastAsia="" w:cs="" w:cstheme="majorBidi" w:eastAsiaTheme="majorEastAsia"/>
          <w:b/>
          <w:b/>
          <w:sz w:val="24"/>
          <w:szCs w:val="26"/>
          <w:lang w:val="en-US"/>
        </w:rPr>
      </w:pPr>
      <w:r>
        <w:rPr>
          <w:rFonts w:eastAsia="" w:cs="" w:ascii="Times New Roman" w:hAnsi="Times New Roman" w:cstheme="majorBidi" w:eastAsiaTheme="majorEastAsia"/>
          <w:b/>
          <w:sz w:val="24"/>
          <w:szCs w:val="26"/>
          <w:lang w:val="en-US"/>
        </w:rPr>
        <w:t xml:space="preserve">Progress made during the reporting period towards the objectives </w:t>
      </w:r>
    </w:p>
    <w:p>
      <w:pPr>
        <w:pStyle w:val="Normal"/>
        <w:suppressLineNumbers/>
        <w:suppressAutoHyphens w:val="true"/>
        <w:overflowPunct w:val="true"/>
        <w:spacing w:lineRule="auto" w:line="240" w:before="120" w:after="120"/>
        <w:jc w:val="both"/>
        <w:textAlignment w:val="baseline"/>
        <w:rPr>
          <w:rFonts w:ascii="Times New Roman" w:hAnsi="Times New Roman" w:cs="Times New Roman"/>
          <w:i/>
          <w:i/>
          <w:lang w:val="en-US"/>
        </w:rPr>
      </w:pPr>
      <w:bookmarkStart w:id="0" w:name="_Toc158884625"/>
      <w:bookmarkStart w:id="1" w:name="_Toc158883511"/>
      <w:bookmarkStart w:id="2" w:name="_Toc158884243"/>
      <w:r>
        <w:rPr>
          <w:rFonts w:cs="Times New Roman" w:ascii="Times New Roman" w:hAnsi="Times New Roman"/>
          <w:i/>
          <w:lang w:val="en-US"/>
        </w:rPr>
        <w:t>[Please describe the progress made during the third reporting period in line with your Gantt chart and the project overall tasks as described in the Annex 1 of the Grant Agreement and summarized below.]</w:t>
      </w:r>
    </w:p>
    <w:p>
      <w:pPr>
        <w:pStyle w:val="Normal"/>
        <w:suppressLineNumbers/>
        <w:suppressAutoHyphens w:val="true"/>
        <w:overflowPunct w:val="true"/>
        <w:spacing w:lineRule="auto" w:line="240" w:before="120" w:after="120"/>
        <w:textAlignment w:val="baseline"/>
        <w:rPr>
          <w:rFonts w:ascii="Times New Roman" w:hAnsi="Times New Roman" w:eastAsia="Times New Roman" w:cs="Times New Roman"/>
          <w:b/>
          <w:b/>
          <w:i/>
          <w:i/>
          <w:sz w:val="24"/>
          <w:szCs w:val="20"/>
          <w:lang w:val="en-US"/>
        </w:rPr>
      </w:pPr>
      <w:bookmarkStart w:id="3" w:name="_Toc158883511"/>
      <w:bookmarkStart w:id="4" w:name="_Toc158884243"/>
      <w:r>
        <w:rPr>
          <w:rFonts w:eastAsia="Times New Roman" w:cs="Times New Roman" w:ascii="Times New Roman" w:hAnsi="Times New Roman"/>
          <w:b/>
          <w:i/>
          <w:sz w:val="24"/>
          <w:szCs w:val="20"/>
          <w:lang w:val="en-US"/>
        </w:rPr>
        <w:t>Table</w:t>
      </w:r>
      <w:bookmarkEnd w:id="3"/>
      <w:bookmarkEnd w:id="4"/>
      <w:r>
        <w:rPr>
          <w:rFonts w:eastAsia="Times New Roman" w:cs="Times New Roman" w:ascii="Times New Roman" w:hAnsi="Times New Roman"/>
          <w:b/>
          <w:i/>
          <w:sz w:val="24"/>
          <w:szCs w:val="20"/>
          <w:lang w:val="en-US"/>
        </w:rPr>
        <w:t xml:space="preserve"> 1.</w:t>
      </w:r>
      <w:bookmarkEnd w:id="0"/>
      <w:r>
        <w:rPr>
          <w:rFonts w:eastAsia="Times New Roman" w:cs="Times New Roman" w:ascii="Times New Roman" w:hAnsi="Times New Roman"/>
          <w:b/>
          <w:i/>
          <w:sz w:val="24"/>
          <w:szCs w:val="20"/>
          <w:lang w:val="en-US"/>
        </w:rPr>
        <w:t>2 Progress made during the reporting period towards objectives</w:t>
      </w:r>
    </w:p>
    <w:tbl>
      <w:tblPr>
        <w:tblStyle w:val="TableGrid"/>
        <w:tblW w:w="9062" w:type="dxa"/>
        <w:jc w:val="left"/>
        <w:tblInd w:w="0" w:type="dxa"/>
        <w:tblCellMar>
          <w:top w:w="0" w:type="dxa"/>
          <w:left w:w="108" w:type="dxa"/>
          <w:bottom w:w="0" w:type="dxa"/>
          <w:right w:w="108" w:type="dxa"/>
        </w:tblCellMar>
        <w:tblLook w:noVBand="1" w:val="04a0" w:noHBand="0" w:lastColumn="0" w:firstColumn="1" w:lastRow="0" w:firstRow="1"/>
      </w:tblPr>
      <w:tblGrid>
        <w:gridCol w:w="9062"/>
      </w:tblGrid>
      <w:tr>
        <w:trPr/>
        <w:tc>
          <w:tcPr>
            <w:tcW w:w="9062" w:type="dxa"/>
            <w:tcBorders/>
          </w:tcPr>
          <w:p>
            <w:pPr>
              <w:pStyle w:val="Normal"/>
              <w:spacing w:lineRule="auto" w:line="240" w:before="0" w:after="0"/>
              <w:jc w:val="both"/>
              <w:rPr>
                <w:rFonts w:ascii="Times New Roman" w:hAnsi="Times New Roman" w:cs="Times New Roman"/>
                <w:b/>
                <w:b/>
                <w:i/>
                <w:i/>
                <w:lang w:val="en-US"/>
              </w:rPr>
            </w:pPr>
            <w:r>
              <w:rPr>
                <w:rFonts w:cs="Times New Roman" w:ascii="Times New Roman" w:hAnsi="Times New Roman"/>
                <w:b/>
                <w:i/>
                <w:lang w:val="en-US"/>
              </w:rPr>
              <w:t>Task 1: Nuclear PDFs. The determination of parton densities inside nuclei and the searches for collinear factorization breaking effects at small x, both by refining the methods for PDF extraction and by using new data sets from the LHC and RHIC will be improved</w:t>
            </w:r>
          </w:p>
        </w:tc>
      </w:tr>
      <w:tr>
        <w:trPr/>
        <w:tc>
          <w:tcPr>
            <w:tcW w:w="9062" w:type="dxa"/>
            <w:tcBorders/>
          </w:tcPr>
          <w:p>
            <w:pPr>
              <w:pStyle w:val="Normal"/>
              <w:spacing w:lineRule="auto" w:line="240" w:before="0" w:after="0"/>
              <w:rPr>
                <w:rFonts w:ascii="Times New Roman" w:hAnsi="Times New Roman" w:cs="Times New Roman"/>
                <w:lang w:val="en-ES"/>
              </w:rPr>
            </w:pPr>
            <w:r>
              <w:rPr>
                <w:rFonts w:cs="Times New Roman" w:ascii="Times New Roman" w:hAnsi="Times New Roman"/>
                <w:lang w:val="en-US"/>
              </w:rPr>
              <w:t>During the reporting period, the activities on this task can be divided into three directions</w:t>
            </w:r>
            <w:r>
              <w:rPr>
                <w:rFonts w:cs="Times New Roman" w:ascii="Times New Roman" w:hAnsi="Times New Roman"/>
                <w:lang w:val="en-US"/>
              </w:rPr>
              <w:t>. First, we have developed a new way</w:t>
            </w:r>
            <w:r>
              <w:rPr>
                <w:rFonts w:cs="Times New Roman" w:ascii="Times New Roman" w:hAnsi="Times New Roman"/>
                <w:lang w:val="en-US"/>
              </w:rPr>
              <w:t xml:space="preserve"> to implement QCD evolution directly on physical observables and not on PDFs, as developed in the paper </w:t>
            </w:r>
            <w:r>
              <w:rPr>
                <w:rFonts w:cs="Times New Roman" w:ascii="Times New Roman" w:hAnsi="Times New Roman"/>
                <w:lang w:val="en-GB"/>
              </w:rPr>
              <w:t>Eur. Phys. J. C 84 (2024) 1, 84.</w:t>
            </w:r>
          </w:p>
          <w:p>
            <w:pPr>
              <w:pStyle w:val="Normal"/>
              <w:spacing w:lineRule="auto" w:line="240" w:before="0" w:after="0"/>
              <w:rPr>
                <w:rFonts w:ascii="Times New Roman" w:hAnsi="Times New Roman" w:cs="Times New Roman"/>
                <w:lang w:val="en-GB"/>
              </w:rPr>
            </w:pPr>
            <w:r>
              <w:rPr>
                <w:rFonts w:cs="Times New Roman" w:ascii="Times New Roman" w:hAnsi="Times New Roman"/>
                <w:lang w:val="en-GB"/>
              </w:rPr>
            </w:r>
          </w:p>
          <w:p>
            <w:pPr>
              <w:pStyle w:val="Normal"/>
              <w:spacing w:lineRule="auto" w:line="240" w:before="0" w:after="0"/>
              <w:rPr>
                <w:rFonts w:ascii="Times New Roman" w:hAnsi="Times New Roman" w:cs="Times New Roman"/>
                <w:i/>
                <w:i/>
                <w:iCs/>
                <w:lang w:val="en-ES"/>
              </w:rPr>
            </w:pPr>
            <w:r>
              <w:rPr>
                <w:rFonts w:cs="Times New Roman" w:ascii="Times New Roman" w:hAnsi="Times New Roman"/>
                <w:lang w:val="en-GB"/>
              </w:rPr>
              <w:t xml:space="preserve">Second, studies of the future impact of EIC data on the determination of proton and nuclear PDFs, </w:t>
            </w:r>
            <w:r>
              <w:rPr>
                <w:rFonts w:cs="Times New Roman" w:ascii="Times New Roman" w:hAnsi="Times New Roman"/>
                <w:lang w:val="en-GB"/>
              </w:rPr>
              <w:t>were</w:t>
            </w:r>
            <w:r>
              <w:rPr>
                <w:rFonts w:cs="Times New Roman" w:ascii="Times New Roman" w:hAnsi="Times New Roman"/>
                <w:lang w:val="en-GB"/>
              </w:rPr>
              <w:t xml:space="preserve"> developed in Phys. Rev. D 109 (2024) 5, 5.</w:t>
            </w:r>
          </w:p>
          <w:p>
            <w:pPr>
              <w:pStyle w:val="Normal"/>
              <w:spacing w:lineRule="auto" w:line="240" w:before="0" w:after="0"/>
              <w:rPr>
                <w:rFonts w:ascii="Times New Roman" w:hAnsi="Times New Roman" w:cs="Times New Roman"/>
                <w:lang w:val="en-GB"/>
              </w:rPr>
            </w:pPr>
            <w:r>
              <w:rPr>
                <w:rFonts w:cs="Times New Roman" w:ascii="Times New Roman" w:hAnsi="Times New Roman"/>
                <w:lang w:val="en-GB"/>
              </w:rPr>
            </w:r>
          </w:p>
          <w:p>
            <w:pPr>
              <w:pStyle w:val="Normal"/>
              <w:spacing w:lineRule="auto" w:line="240" w:before="0" w:after="0"/>
              <w:rPr>
                <w:rFonts w:ascii="Times New Roman" w:hAnsi="Times New Roman" w:cs="Times New Roman"/>
                <w:lang w:val="en-GB"/>
              </w:rPr>
            </w:pPr>
            <w:r>
              <w:rPr>
                <w:rFonts w:cs="Times New Roman" w:ascii="Times New Roman" w:hAnsi="Times New Roman"/>
                <w:lang w:val="en-GB"/>
              </w:rPr>
              <w:t xml:space="preserve">Third, studies of the possibilities and uncertainties for constraining nuclear parton densities in ultraperipheral collisions at the LHC, </w:t>
            </w:r>
            <w:r>
              <w:rPr>
                <w:rFonts w:cs="Times New Roman" w:ascii="Times New Roman" w:hAnsi="Times New Roman"/>
                <w:lang w:val="en-GB"/>
              </w:rPr>
              <w:t>were</w:t>
            </w:r>
            <w:r>
              <w:rPr>
                <w:rFonts w:cs="Times New Roman" w:ascii="Times New Roman" w:hAnsi="Times New Roman"/>
                <w:lang w:val="en-GB"/>
              </w:rPr>
              <w:t xml:space="preserve"> developed in Eur. Phys. J. C 83 (2023) 8, 758.</w:t>
            </w:r>
          </w:p>
          <w:p>
            <w:pPr>
              <w:pStyle w:val="Normal"/>
              <w:spacing w:lineRule="auto" w:line="240" w:before="0" w:after="0"/>
              <w:rPr>
                <w:rFonts w:ascii="Times New Roman" w:hAnsi="Times New Roman" w:cs="Times New Roman"/>
              </w:rPr>
            </w:pPr>
            <w:r>
              <w:rPr>
                <w:rFonts w:cs="Times New Roman" w:ascii="Times New Roman" w:hAnsi="Times New Roman"/>
                <w:lang w:val="en-GB"/>
              </w:rPr>
              <w:t>Many of these developments are summarized in</w:t>
            </w:r>
            <w:r>
              <w:rPr>
                <w:rFonts w:cs="Times New Roman" w:ascii="Times New Roman" w:hAnsi="Times New Roman"/>
                <w:lang w:val="en-GB"/>
              </w:rPr>
              <w:t xml:space="preserve"> the review </w:t>
            </w:r>
            <w:r>
              <w:rPr>
                <w:rFonts w:cs="Times New Roman" w:ascii="Times New Roman" w:hAnsi="Times New Roman"/>
                <w:i/>
                <w:iCs/>
                <w:highlight w:val="white"/>
                <w:lang w:val="en-GB"/>
              </w:rPr>
              <w:t>Nuclear PDFs After the First Decade of LHC Data</w:t>
            </w:r>
            <w:r>
              <w:rPr>
                <w:rFonts w:cs="Times New Roman" w:ascii="Times New Roman" w:hAnsi="Times New Roman"/>
                <w:lang w:val="en-GB"/>
              </w:rPr>
              <w:t xml:space="preserve">, e-Print: 2311.00450 [hep-ph], M. Klasen, H. Paukkunen (JYV), to appear in </w:t>
            </w:r>
            <w:r>
              <w:rPr>
                <w:rFonts w:cs="Times New Roman" w:ascii="Times New Roman" w:hAnsi="Times New Roman"/>
              </w:rPr>
              <w:t>Ann. Rev. Nucl. Part. Sci.</w:t>
            </w:r>
          </w:p>
          <w:p>
            <w:pPr>
              <w:pStyle w:val="Normal"/>
              <w:spacing w:lineRule="auto" w:line="240" w:before="0" w:after="0"/>
              <w:rPr>
                <w:rFonts w:ascii="Times New Roman" w:hAnsi="Times New Roman" w:cs="Times New Roman"/>
                <w:lang w:val="en-ES"/>
              </w:rPr>
            </w:pPr>
            <w:r>
              <w:rPr>
                <w:rFonts w:cs="Times New Roman" w:ascii="Times New Roman" w:hAnsi="Times New Roman"/>
                <w:lang w:val="en-ES"/>
              </w:rPr>
            </w:r>
          </w:p>
        </w:tc>
      </w:tr>
      <w:tr>
        <w:trPr/>
        <w:tc>
          <w:tcPr>
            <w:tcW w:w="9062" w:type="dxa"/>
            <w:tcBorders/>
          </w:tcPr>
          <w:p>
            <w:pPr>
              <w:pStyle w:val="Normal"/>
              <w:spacing w:lineRule="auto" w:line="240" w:before="0" w:after="0"/>
              <w:rPr>
                <w:rFonts w:ascii="Times New Roman" w:hAnsi="Times New Roman" w:cs="Times New Roman"/>
                <w:lang w:val="en-US"/>
              </w:rPr>
            </w:pPr>
            <w:r>
              <w:rPr>
                <w:rFonts w:cs="Times New Roman" w:ascii="Times New Roman" w:hAnsi="Times New Roman"/>
                <w:b/>
                <w:i/>
                <w:lang w:val="en-US"/>
              </w:rPr>
              <w:t>Task 2: New NLO-based precision phenomenology in CGC and BFK.</w:t>
            </w:r>
          </w:p>
        </w:tc>
      </w:tr>
      <w:tr>
        <w:trPr/>
        <w:tc>
          <w:tcPr>
            <w:tcW w:w="9062" w:type="dxa"/>
            <w:tcBorders/>
          </w:tcPr>
          <w:p>
            <w:pPr>
              <w:pStyle w:val="Normal"/>
              <w:spacing w:lineRule="auto" w:line="240" w:before="0" w:after="0"/>
              <w:rPr>
                <w:rFonts w:ascii="Times New Roman" w:hAnsi="Times New Roman" w:cs="Times New Roman"/>
                <w:lang w:val="en-US"/>
              </w:rPr>
            </w:pPr>
            <w:r>
              <w:rPr>
                <w:rFonts w:cs="Times New Roman" w:ascii="Times New Roman" w:hAnsi="Times New Roman"/>
                <w:lang w:val="en-US"/>
              </w:rPr>
              <w:t>Concerning technical aspects in the CGC and BFKL, several lines have been pursued:</w:t>
            </w:r>
          </w:p>
          <w:p>
            <w:pPr>
              <w:pStyle w:val="ListParagraph"/>
              <w:numPr>
                <w:ilvl w:val="0"/>
                <w:numId w:val="5"/>
              </w:numPr>
              <w:spacing w:lineRule="auto" w:line="240" w:before="0" w:after="0"/>
              <w:contextualSpacing/>
              <w:rPr>
                <w:rFonts w:ascii="Times New Roman" w:hAnsi="Times New Roman" w:cs="Times New Roman"/>
                <w:lang w:val="en-US"/>
              </w:rPr>
            </w:pPr>
            <w:r>
              <w:rPr>
                <w:rFonts w:cs="Times New Roman" w:ascii="Times New Roman" w:hAnsi="Times New Roman"/>
                <w:lang w:val="en-US"/>
              </w:rPr>
              <w:t xml:space="preserve">On the CGC side, there have been works on the interpretation of improvements on evolution (feasibility of a Langevin implementation at NLO in </w:t>
            </w:r>
            <w:r>
              <w:rPr>
                <w:rFonts w:cs="Times New Roman" w:ascii="Times New Roman" w:hAnsi="Times New Roman"/>
                <w:lang w:val="en-GB"/>
              </w:rPr>
              <w:t>JHEP 03 (2024), 131; impact parameter dependence in Phys. Lett. B 848 (2024) 138360</w:t>
            </w:r>
            <w:r>
              <w:rPr>
                <w:rFonts w:cs="Times New Roman" w:ascii="Times New Roman" w:hAnsi="Times New Roman"/>
                <w:lang w:val="en-US"/>
              </w:rPr>
              <w:t>), NLO implementation of forward particle production (</w:t>
            </w:r>
            <w:r>
              <w:rPr>
                <w:rFonts w:cs="Times New Roman" w:ascii="Times New Roman" w:hAnsi="Times New Roman"/>
                <w:lang w:val="en-GB"/>
              </w:rPr>
              <w:t>Phys. Rev. D 109 (2024) 3, 034018</w:t>
            </w:r>
            <w:r>
              <w:rPr>
                <w:rFonts w:cs="Times New Roman" w:ascii="Times New Roman" w:hAnsi="Times New Roman"/>
                <w:lang w:val="en-US"/>
              </w:rPr>
              <w:t>), several works on NLO calculations for diffraction, either inclusive (</w:t>
            </w:r>
            <w:r>
              <w:rPr>
                <w:rFonts w:cs="Times New Roman" w:ascii="Times New Roman" w:hAnsi="Times New Roman"/>
                <w:lang w:val="en-GB"/>
              </w:rPr>
              <w:t>JHEP 05 (2024) 024; Phys. Rev. D 108 (2023) 11, 114023</w:t>
            </w:r>
            <w:r>
              <w:rPr>
                <w:rFonts w:cs="Times New Roman" w:ascii="Times New Roman" w:hAnsi="Times New Roman"/>
                <w:lang w:val="en-US"/>
              </w:rPr>
              <w:t>) or exclusive (</w:t>
            </w:r>
            <w:r>
              <w:rPr>
                <w:rFonts w:cs="Times New Roman" w:ascii="Times New Roman" w:hAnsi="Times New Roman"/>
                <w:lang w:val="en-GB"/>
              </w:rPr>
              <w:t>e-Print: 2311.09146 [hep-ph]; JHEP 02 (2024) 165; Eur. Phys. J. C 83 (2023) 11, 1078</w:t>
            </w:r>
            <w:r>
              <w:rPr>
                <w:rFonts w:cs="Times New Roman" w:ascii="Times New Roman" w:hAnsi="Times New Roman"/>
                <w:lang w:val="en-US"/>
              </w:rPr>
              <w:t>), and on the implementation of non-eikonal corrections (</w:t>
            </w:r>
            <w:r>
              <w:rPr>
                <w:rFonts w:cs="Times New Roman" w:ascii="Times New Roman" w:hAnsi="Times New Roman"/>
              </w:rPr>
              <w:t>JHEP 07 (2024) 137</w:t>
            </w:r>
            <w:r>
              <w:rPr>
                <w:rFonts w:cs="Times New Roman" w:ascii="Times New Roman" w:hAnsi="Times New Roman"/>
                <w:lang w:val="en-US"/>
              </w:rPr>
              <w:t>).</w:t>
            </w:r>
          </w:p>
          <w:p>
            <w:pPr>
              <w:pStyle w:val="ListParagraph"/>
              <w:numPr>
                <w:ilvl w:val="0"/>
                <w:numId w:val="5"/>
              </w:numPr>
              <w:spacing w:lineRule="auto" w:line="240" w:before="0" w:after="0"/>
              <w:contextualSpacing/>
              <w:rPr>
                <w:rFonts w:ascii="Times New Roman" w:hAnsi="Times New Roman" w:cs="Times New Roman"/>
                <w:lang w:val="en-US"/>
              </w:rPr>
            </w:pPr>
            <w:r>
              <w:rPr>
                <w:rFonts w:cs="Times New Roman" w:ascii="Times New Roman" w:hAnsi="Times New Roman"/>
                <w:lang w:val="en-US"/>
              </w:rPr>
              <w:t>On the BFKL side, theory computations at higher order for evolution (</w:t>
            </w:r>
            <w:r>
              <w:rPr>
                <w:rFonts w:cs="Times New Roman" w:ascii="Times New Roman" w:hAnsi="Times New Roman"/>
                <w:lang w:val="en-GB"/>
              </w:rPr>
              <w:t>JHEP 04 (2024) 078; JHEP 04 (2023) 137</w:t>
            </w:r>
            <w:r>
              <w:rPr>
                <w:rFonts w:cs="Times New Roman" w:ascii="Times New Roman" w:hAnsi="Times New Roman"/>
                <w:lang w:val="en-US"/>
              </w:rPr>
              <w:t>) and impact factors (</w:t>
            </w:r>
            <w:r>
              <w:rPr>
                <w:rFonts w:cs="Times New Roman" w:ascii="Times New Roman" w:hAnsi="Times New Roman"/>
                <w:lang w:val="en-GB"/>
              </w:rPr>
              <w:t>JHEP 01 (2024) 106</w:t>
            </w:r>
            <w:r>
              <w:rPr>
                <w:rFonts w:cs="Times New Roman" w:ascii="Times New Roman" w:hAnsi="Times New Roman"/>
                <w:lang w:val="en-US"/>
              </w:rPr>
              <w:t>).</w:t>
            </w:r>
          </w:p>
          <w:p>
            <w:pPr>
              <w:pStyle w:val="Normal"/>
              <w:spacing w:lineRule="auto" w:line="240" w:before="0" w:after="0"/>
              <w:rPr>
                <w:rFonts w:ascii="Times New Roman" w:hAnsi="Times New Roman" w:cs="Times New Roman"/>
                <w:lang w:val="en-US"/>
              </w:rPr>
            </w:pPr>
            <w:r>
              <w:rPr>
                <w:rFonts w:cs="Times New Roman" w:ascii="Times New Roman" w:hAnsi="Times New Roman"/>
                <w:lang w:val="en-US"/>
              </w:rPr>
            </w:r>
          </w:p>
          <w:p>
            <w:pPr>
              <w:pStyle w:val="Normal"/>
              <w:spacing w:lineRule="auto" w:line="240" w:before="0" w:after="0"/>
              <w:rPr>
                <w:rFonts w:ascii="Times New Roman" w:hAnsi="Times New Roman" w:cs="Times New Roman"/>
                <w:lang w:val="en-GB"/>
              </w:rPr>
            </w:pPr>
            <w:r>
              <w:rPr>
                <w:rFonts w:cs="Times New Roman" w:ascii="Times New Roman" w:hAnsi="Times New Roman"/>
                <w:lang w:val="en-US"/>
              </w:rPr>
              <w:t>On a more phenomenological side, several studies on the possibility to disentangle saturation in exclusive vector meson production in ultraperipheral collisions (</w:t>
            </w:r>
            <w:r>
              <w:rPr>
                <w:rFonts w:cs="Times New Roman" w:ascii="Times New Roman" w:hAnsi="Times New Roman"/>
                <w:lang w:val="en-GB"/>
              </w:rPr>
              <w:t>Phys. Rev. D 109 (2024) 7, L071504; Phys. Lett. B 852 (2024) 138613</w:t>
            </w:r>
            <w:r>
              <w:rPr>
                <w:rFonts w:cs="Times New Roman" w:ascii="Times New Roman" w:hAnsi="Times New Roman"/>
                <w:lang w:val="en-US"/>
              </w:rPr>
              <w:t>) and dijet production in pA collisions (</w:t>
            </w:r>
            <w:r>
              <w:rPr>
                <w:rFonts w:cs="Times New Roman" w:ascii="Times New Roman" w:hAnsi="Times New Roman"/>
                <w:lang w:val="en-GB"/>
              </w:rPr>
              <w:t>Eur. Phys. J. C 83 (2023) 10, 947), as well as extractions of initial conditions for non-linear evolution (Phys. Rev. D 109 (2024) 5, 054018) and its influence on the extraction of parton densities (Phys. Rev. D 109 (2024) 9, 094004).</w:t>
            </w:r>
          </w:p>
          <w:p>
            <w:pPr>
              <w:pStyle w:val="Normal"/>
              <w:spacing w:lineRule="auto" w:line="240" w:before="0" w:after="0"/>
              <w:rPr>
                <w:rFonts w:ascii="Times New Roman" w:hAnsi="Times New Roman" w:cs="Times New Roman"/>
                <w:lang w:val="en-GB"/>
              </w:rPr>
            </w:pPr>
            <w:r>
              <w:rPr>
                <w:rFonts w:cs="Times New Roman" w:ascii="Times New Roman" w:hAnsi="Times New Roman"/>
                <w:lang w:val="en-GB"/>
              </w:rPr>
            </w:r>
          </w:p>
          <w:p>
            <w:pPr>
              <w:pStyle w:val="Normal"/>
              <w:spacing w:lineRule="auto" w:line="240" w:before="0" w:after="0"/>
              <w:rPr>
                <w:rFonts w:ascii="Times New Roman" w:hAnsi="Times New Roman" w:cs="Times New Roman"/>
                <w:lang w:val="en-GB"/>
              </w:rPr>
            </w:pPr>
            <w:r>
              <w:rPr>
                <w:rFonts w:cs="Times New Roman" w:ascii="Times New Roman" w:hAnsi="Times New Roman"/>
                <w:lang w:val="en-GB"/>
              </w:rPr>
              <w:t>Finally, there has been several theoretical studies relevant for future facilities concerning diffraction at the EIC (e-Print: 2406.02227 [hep-ph], to appear in Phys. Rev. D), production of exotic hadrons in high energy factorization (2405.14773 [hep-ph]; Phys. Lett. B 848 (2024) 138406) and new evolution equations including the electro-weak sector at ultrahigh energies (e-Print: 2403.08583 [hep-ph]).</w:t>
            </w:r>
          </w:p>
          <w:p>
            <w:pPr>
              <w:pStyle w:val="Normal"/>
              <w:spacing w:lineRule="auto" w:line="240" w:before="0" w:after="0"/>
              <w:rPr>
                <w:rFonts w:ascii="Times New Roman" w:hAnsi="Times New Roman" w:cs="Times New Roman"/>
                <w:lang w:val="en-US"/>
              </w:rPr>
            </w:pPr>
            <w:r>
              <w:rPr>
                <w:rFonts w:cs="Times New Roman" w:ascii="Times New Roman" w:hAnsi="Times New Roman"/>
                <w:lang w:val="en-US"/>
              </w:rPr>
            </w:r>
          </w:p>
        </w:tc>
      </w:tr>
      <w:tr>
        <w:trPr/>
        <w:tc>
          <w:tcPr>
            <w:tcW w:w="9062" w:type="dxa"/>
            <w:tcBorders/>
          </w:tcPr>
          <w:p>
            <w:pPr>
              <w:pStyle w:val="Normal"/>
              <w:spacing w:lineRule="auto" w:line="240" w:before="0" w:after="0"/>
              <w:rPr>
                <w:rFonts w:ascii="Times New Roman" w:hAnsi="Times New Roman" w:cs="Times New Roman"/>
                <w:b/>
                <w:b/>
                <w:i/>
                <w:i/>
                <w:lang w:val="en-US"/>
              </w:rPr>
            </w:pPr>
            <w:r>
              <w:rPr>
                <w:rFonts w:cs="Times New Roman" w:ascii="Times New Roman" w:hAnsi="Times New Roman"/>
                <w:b/>
                <w:i/>
                <w:lang w:val="en-US"/>
              </w:rPr>
              <w:t>Task 3: TMDs at small x</w:t>
            </w:r>
          </w:p>
        </w:tc>
      </w:tr>
      <w:tr>
        <w:trPr/>
        <w:tc>
          <w:tcPr>
            <w:tcW w:w="9062" w:type="dxa"/>
            <w:tcBorders/>
          </w:tcPr>
          <w:p>
            <w:pPr>
              <w:pStyle w:val="Normal"/>
              <w:spacing w:lineRule="auto" w:line="240" w:before="0" w:after="0"/>
              <w:rPr>
                <w:rFonts w:ascii="Times New Roman" w:hAnsi="Times New Roman" w:cs="Times New Roman"/>
                <w:lang w:val="en-GB"/>
              </w:rPr>
            </w:pPr>
            <w:r>
              <w:rPr>
                <w:rFonts w:cs="Times New Roman" w:ascii="Times New Roman" w:hAnsi="Times New Roman"/>
                <w:lang w:val="en-US"/>
              </w:rPr>
              <w:t>On this task, and related with activities in JRA4 and JRA5, there has been work on the relation between TMD and small x evolutions and the possibility of obtaining a consistent TMD-factorized form for the cross sections at small x (</w:t>
            </w:r>
            <w:r>
              <w:rPr>
                <w:rFonts w:cs="Times New Roman" w:ascii="Times New Roman" w:hAnsi="Times New Roman"/>
                <w:lang w:val="en-GB"/>
              </w:rPr>
              <w:t>e-Print: 2406.04238 [hep-ph]; e-Print: 2406.08277 [hep-ph]).</w:t>
            </w:r>
          </w:p>
          <w:p>
            <w:pPr>
              <w:pStyle w:val="Normal"/>
              <w:spacing w:lineRule="auto" w:line="240" w:before="0" w:after="0"/>
              <w:rPr>
                <w:rFonts w:ascii="Times New Roman" w:hAnsi="Times New Roman" w:cs="Times New Roman"/>
                <w:lang w:val="en-GB"/>
              </w:rPr>
            </w:pPr>
            <w:r>
              <w:rPr>
                <w:rFonts w:cs="Times New Roman" w:ascii="Times New Roman" w:hAnsi="Times New Roman"/>
                <w:lang w:val="en-GB"/>
              </w:rPr>
            </w:r>
          </w:p>
          <w:p>
            <w:pPr>
              <w:pStyle w:val="Normal"/>
              <w:spacing w:lineRule="auto" w:line="240" w:before="0" w:after="0"/>
              <w:rPr>
                <w:rFonts w:ascii="Times New Roman" w:hAnsi="Times New Roman" w:cs="Times New Roman"/>
                <w:lang w:val="en-ES"/>
              </w:rPr>
            </w:pPr>
            <w:r>
              <w:rPr>
                <w:rFonts w:cs="Times New Roman" w:ascii="Times New Roman" w:hAnsi="Times New Roman"/>
                <w:lang w:val="en-GB"/>
              </w:rPr>
              <w:t>Furthermore, and as a new deliverable, TMD factorization has been established for diffracti</w:t>
            </w:r>
            <w:r>
              <w:rPr>
                <w:rFonts w:cs="Times New Roman" w:ascii="Times New Roman" w:hAnsi="Times New Roman"/>
                <w:lang w:val="en-GB"/>
              </w:rPr>
              <w:t>ve</w:t>
            </w:r>
            <w:r>
              <w:rPr>
                <w:rFonts w:cs="Times New Roman" w:ascii="Times New Roman" w:hAnsi="Times New Roman"/>
                <w:lang w:val="en-GB"/>
              </w:rPr>
              <w:t xml:space="preserve"> dijet production in photoproduction on nuclei at next-to-leading order: </w:t>
            </w:r>
            <w:r>
              <w:rPr>
                <w:rFonts w:cs="Times New Roman" w:ascii="Times New Roman" w:hAnsi="Times New Roman"/>
                <w:i/>
                <w:iCs/>
                <w:highlight w:val="white"/>
                <w:lang w:val="en-GB"/>
              </w:rPr>
              <w:t>TMD factorisation for diffractive jets in photon-nucleus interactions</w:t>
            </w:r>
            <w:r>
              <w:rPr>
                <w:rFonts w:cs="Times New Roman" w:ascii="Times New Roman" w:hAnsi="Times New Roman"/>
                <w:i/>
                <w:iCs/>
                <w:lang w:val="en-GB"/>
              </w:rPr>
              <w:t>,</w:t>
            </w:r>
            <w:r>
              <w:rPr>
                <w:rFonts w:cs="Times New Roman" w:ascii="Times New Roman" w:hAnsi="Times New Roman"/>
                <w:lang w:val="en-GB"/>
              </w:rPr>
              <w:t xml:space="preserve"> </w:t>
            </w:r>
            <w:r>
              <w:rPr>
                <w:rFonts w:cs="Times New Roman" w:ascii="Times New Roman" w:hAnsi="Times New Roman"/>
                <w:lang w:val="en-ES"/>
              </w:rPr>
              <w:t>JHEP 06 (2024) 180,</w:t>
            </w:r>
            <w:r>
              <w:rPr>
                <w:rFonts w:cs="Times New Roman" w:ascii="Times New Roman" w:hAnsi="Times New Roman"/>
                <w:lang w:val="en-GB"/>
              </w:rPr>
              <w:t xml:space="preserve"> S. Hauksson, E. Iancu (CEA), A. H. Mueller, D. N. Triantafyllopoulos (ECT*), S. Y. Wei.</w:t>
            </w:r>
          </w:p>
          <w:p>
            <w:pPr>
              <w:pStyle w:val="Normal"/>
              <w:spacing w:lineRule="auto" w:line="240" w:before="0" w:after="0"/>
              <w:rPr>
                <w:rFonts w:ascii="Times New Roman" w:hAnsi="Times New Roman" w:cs="Times New Roman"/>
                <w:lang w:val="en-US"/>
              </w:rPr>
            </w:pPr>
            <w:r>
              <w:rPr>
                <w:rFonts w:cs="Times New Roman" w:ascii="Times New Roman" w:hAnsi="Times New Roman"/>
                <w:lang w:val="en-US"/>
              </w:rPr>
            </w:r>
          </w:p>
        </w:tc>
      </w:tr>
      <w:tr>
        <w:trPr/>
        <w:tc>
          <w:tcPr>
            <w:tcW w:w="9062" w:type="dxa"/>
            <w:tcBorders/>
          </w:tcPr>
          <w:p>
            <w:pPr>
              <w:pStyle w:val="Normal"/>
              <w:spacing w:lineRule="auto" w:line="240" w:before="0" w:after="0"/>
              <w:rPr>
                <w:rFonts w:ascii="Times New Roman" w:hAnsi="Times New Roman" w:cs="Times New Roman"/>
                <w:b/>
                <w:b/>
                <w:i/>
                <w:i/>
                <w:lang w:val="en-US"/>
              </w:rPr>
            </w:pPr>
            <w:r>
              <w:rPr>
                <w:rFonts w:cs="Times New Roman" w:ascii="Times New Roman" w:hAnsi="Times New Roman"/>
                <w:b/>
                <w:i/>
                <w:lang w:val="en-US"/>
              </w:rPr>
              <w:t>Task 4: Multi-particle correlations &amp; Thermalization</w:t>
            </w:r>
          </w:p>
        </w:tc>
      </w:tr>
      <w:tr>
        <w:trPr/>
        <w:tc>
          <w:tcPr>
            <w:tcW w:w="9062" w:type="dxa"/>
            <w:tcBorders/>
          </w:tcPr>
          <w:p>
            <w:pPr>
              <w:pStyle w:val="Normal"/>
              <w:spacing w:lineRule="auto" w:line="240" w:before="0" w:after="0"/>
              <w:rPr>
                <w:rFonts w:ascii="Times New Roman" w:hAnsi="Times New Roman" w:cs="Times New Roman"/>
                <w:lang w:val="en-US"/>
              </w:rPr>
            </w:pPr>
            <w:r>
              <w:rPr>
                <w:rFonts w:cs="Times New Roman" w:ascii="Times New Roman" w:hAnsi="Times New Roman"/>
                <w:lang w:val="en-US"/>
              </w:rPr>
              <w:t>Concerning this task, there has been activities on three directions: First, initial state explanations of long range two-particle correlations in hadronic collisions, i.e., the ridge, in the CGC (</w:t>
            </w:r>
            <w:r>
              <w:rPr>
                <w:rFonts w:cs="Times New Roman" w:ascii="Times New Roman" w:hAnsi="Times New Roman"/>
                <w:lang w:val="en-GB"/>
              </w:rPr>
              <w:t>JHEP 10 (2023) 159; Universe 10 (2024) 2, 58; arXiv:2405.12062 [hep-ph]</w:t>
            </w:r>
            <w:r>
              <w:rPr>
                <w:rFonts w:cs="Times New Roman" w:ascii="Times New Roman" w:hAnsi="Times New Roman"/>
                <w:lang w:val="en-US"/>
              </w:rPr>
              <w:t>).</w:t>
            </w:r>
          </w:p>
          <w:p>
            <w:pPr>
              <w:pStyle w:val="Normal"/>
              <w:spacing w:lineRule="auto" w:line="240" w:before="0" w:after="0"/>
              <w:rPr>
                <w:rFonts w:ascii="Times New Roman" w:hAnsi="Times New Roman" w:cs="Times New Roman"/>
                <w:lang w:val="en-US"/>
              </w:rPr>
            </w:pPr>
            <w:r>
              <w:rPr>
                <w:rFonts w:cs="Times New Roman" w:ascii="Times New Roman" w:hAnsi="Times New Roman"/>
                <w:lang w:val="en-US"/>
              </w:rPr>
            </w:r>
          </w:p>
          <w:p>
            <w:pPr>
              <w:pStyle w:val="Normal"/>
              <w:spacing w:lineRule="auto" w:line="240" w:before="0" w:after="0"/>
              <w:rPr>
                <w:rFonts w:ascii="Times New Roman" w:hAnsi="Times New Roman" w:cs="Times New Roman"/>
                <w:lang w:val="en-GB"/>
              </w:rPr>
            </w:pPr>
            <w:r>
              <w:rPr>
                <w:rFonts w:cs="Times New Roman" w:ascii="Times New Roman" w:hAnsi="Times New Roman"/>
                <w:lang w:val="en-US"/>
              </w:rPr>
              <w:t>Second, entanglement and entropy in the hadronic wave functions and the influence of small-x evolution (</w:t>
            </w:r>
            <w:r>
              <w:rPr>
                <w:rFonts w:cs="Times New Roman" w:ascii="Times New Roman" w:hAnsi="Times New Roman"/>
                <w:lang w:val="en-GB"/>
              </w:rPr>
              <w:t>e-Print: 2310.18510 [hep-ph]; Phys. Rev. D 109 (2024) 5, 054015).</w:t>
            </w:r>
          </w:p>
          <w:p>
            <w:pPr>
              <w:pStyle w:val="Normal"/>
              <w:spacing w:lineRule="auto" w:line="240" w:before="0" w:after="0"/>
              <w:rPr>
                <w:rFonts w:ascii="Times New Roman" w:hAnsi="Times New Roman" w:cs="Times New Roman"/>
                <w:lang w:val="en-US"/>
              </w:rPr>
            </w:pPr>
            <w:r>
              <w:rPr>
                <w:rFonts w:cs="Times New Roman" w:ascii="Times New Roman" w:hAnsi="Times New Roman"/>
                <w:lang w:val="en-US"/>
              </w:rPr>
            </w:r>
          </w:p>
          <w:p>
            <w:pPr>
              <w:pStyle w:val="Normal"/>
              <w:spacing w:lineRule="auto" w:line="240" w:before="0" w:after="0"/>
              <w:rPr>
                <w:rFonts w:ascii="Times New Roman" w:hAnsi="Times New Roman" w:cs="Times New Roman"/>
                <w:lang w:val="en-US"/>
              </w:rPr>
            </w:pPr>
            <w:r>
              <w:rPr>
                <w:rFonts w:cs="Times New Roman" w:ascii="Times New Roman" w:hAnsi="Times New Roman"/>
                <w:lang w:val="en-US"/>
              </w:rPr>
              <w:t>Finally, studies of the onset of thermalization or isotropization in the early stages of hadronic collisions using transport equations or Glasma simulations, with several different aspects:</w:t>
            </w:r>
          </w:p>
          <w:p>
            <w:pPr>
              <w:pStyle w:val="ListParagraph"/>
              <w:numPr>
                <w:ilvl w:val="0"/>
                <w:numId w:val="5"/>
              </w:numPr>
              <w:spacing w:lineRule="auto" w:line="240" w:before="0" w:after="0"/>
              <w:contextualSpacing/>
              <w:rPr>
                <w:rFonts w:ascii="Times New Roman" w:hAnsi="Times New Roman" w:cs="Times New Roman"/>
                <w:lang w:val="en-US"/>
              </w:rPr>
            </w:pPr>
            <w:r>
              <w:rPr>
                <w:rFonts w:cs="Times New Roman" w:ascii="Times New Roman" w:hAnsi="Times New Roman"/>
                <w:lang w:val="en-US"/>
              </w:rPr>
              <w:t>Theoretical aspects like the existence of attractors (</w:t>
            </w:r>
            <w:r>
              <w:rPr>
                <w:rFonts w:cs="Times New Roman" w:ascii="Times New Roman" w:hAnsi="Times New Roman"/>
                <w:lang w:val="en-GB"/>
              </w:rPr>
              <w:t>Phys. Lett. B 852 (2024) 138623</w:t>
            </w:r>
            <w:r>
              <w:rPr>
                <w:rFonts w:cs="Times New Roman" w:ascii="Times New Roman" w:hAnsi="Times New Roman"/>
                <w:lang w:val="en-US"/>
              </w:rPr>
              <w:t>) and the form of the energy momentum tensor (</w:t>
            </w:r>
            <w:r>
              <w:rPr>
                <w:rFonts w:cs="Times New Roman" w:ascii="Times New Roman" w:hAnsi="Times New Roman"/>
                <w:lang w:val="en-GB"/>
              </w:rPr>
              <w:t>Eur. Phys. J. C 84 (2024) 4, 36</w:t>
            </w:r>
            <w:r>
              <w:rPr>
                <w:rFonts w:cs="Times New Roman" w:ascii="Times New Roman" w:hAnsi="Times New Roman"/>
                <w:lang w:val="en-US"/>
              </w:rPr>
              <w:t>).</w:t>
            </w:r>
          </w:p>
          <w:p>
            <w:pPr>
              <w:pStyle w:val="ListParagraph"/>
              <w:numPr>
                <w:ilvl w:val="0"/>
                <w:numId w:val="5"/>
              </w:numPr>
              <w:spacing w:lineRule="auto" w:line="240" w:before="0" w:after="0"/>
              <w:contextualSpacing/>
              <w:rPr>
                <w:rFonts w:ascii="Times New Roman" w:hAnsi="Times New Roman" w:cs="Times New Roman"/>
                <w:lang w:val="en-US"/>
              </w:rPr>
            </w:pPr>
            <w:r>
              <w:rPr>
                <w:rFonts w:cs="Times New Roman" w:ascii="Times New Roman" w:hAnsi="Times New Roman"/>
                <w:lang w:val="en-US"/>
              </w:rPr>
              <w:t>Studies of momentum broadening of light and heavy partons in the initial stages (</w:t>
            </w:r>
            <w:r>
              <w:rPr>
                <w:rFonts w:cs="Times New Roman" w:ascii="Times New Roman" w:hAnsi="Times New Roman"/>
              </w:rPr>
              <w:t>Phys. Rev</w:t>
            </w:r>
            <w:r>
              <w:rPr>
                <w:rFonts w:cs="Times New Roman" w:ascii="Times New Roman" w:hAnsi="Times New Roman"/>
                <w:i/>
                <w:iCs/>
              </w:rPr>
              <w:t xml:space="preserve">. </w:t>
            </w:r>
            <w:r>
              <w:rPr>
                <w:rFonts w:cs="Times New Roman" w:ascii="Times New Roman" w:hAnsi="Times New Roman"/>
              </w:rPr>
              <w:t xml:space="preserve">D 110 (2024) 3, 034019; </w:t>
            </w:r>
            <w:r>
              <w:rPr>
                <w:rFonts w:cs="Times New Roman" w:ascii="Times New Roman" w:hAnsi="Times New Roman"/>
                <w:lang w:val="en-GB"/>
              </w:rPr>
              <w:t>Phys. Rev. D 109 (2024) 1, 014025; Phys. Lett. B 850 (2024) 138525</w:t>
            </w:r>
            <w:r>
              <w:rPr>
                <w:rFonts w:cs="Times New Roman" w:ascii="Times New Roman" w:hAnsi="Times New Roman"/>
                <w:lang w:val="en-US"/>
              </w:rPr>
              <w:t>).</w:t>
            </w:r>
          </w:p>
          <w:p>
            <w:pPr>
              <w:pStyle w:val="ListParagraph"/>
              <w:numPr>
                <w:ilvl w:val="0"/>
                <w:numId w:val="5"/>
              </w:numPr>
              <w:spacing w:lineRule="auto" w:line="240" w:before="0" w:after="0"/>
              <w:contextualSpacing/>
              <w:rPr>
                <w:rFonts w:ascii="Times New Roman" w:hAnsi="Times New Roman" w:cs="Times New Roman"/>
                <w:lang w:val="en-US"/>
              </w:rPr>
            </w:pPr>
            <w:r>
              <w:rPr>
                <w:rFonts w:cs="Times New Roman" w:ascii="Times New Roman" w:hAnsi="Times New Roman"/>
                <w:lang w:val="en-US"/>
              </w:rPr>
              <w:t>Studies of the influence of quarks in the equilibration process (</w:t>
            </w:r>
            <w:r>
              <w:rPr>
                <w:rFonts w:cs="Times New Roman" w:ascii="Times New Roman" w:hAnsi="Times New Roman"/>
              </w:rPr>
              <w:t>JHEP 06 (2024) 145</w:t>
            </w:r>
            <w:r>
              <w:rPr>
                <w:rFonts w:cs="Times New Roman" w:ascii="Times New Roman" w:hAnsi="Times New Roman"/>
                <w:lang w:val="en-US"/>
              </w:rPr>
              <w:t>).</w:t>
            </w:r>
          </w:p>
          <w:p>
            <w:pPr>
              <w:pStyle w:val="Normal"/>
              <w:spacing w:lineRule="auto" w:line="240" w:before="0" w:after="0"/>
              <w:rPr>
                <w:rFonts w:ascii="Times New Roman" w:hAnsi="Times New Roman" w:cs="Times New Roman"/>
                <w:lang w:val="en-US"/>
              </w:rPr>
            </w:pPr>
            <w:r>
              <w:rPr>
                <w:rFonts w:cs="Times New Roman" w:ascii="Times New Roman" w:hAnsi="Times New Roman"/>
                <w:lang w:val="en-US"/>
              </w:rPr>
            </w:r>
          </w:p>
        </w:tc>
      </w:tr>
    </w:tbl>
    <w:p>
      <w:pPr>
        <w:pStyle w:val="Default"/>
        <w:spacing w:before="240" w:after="0"/>
        <w:jc w:val="both"/>
        <w:rPr>
          <w:rFonts w:eastAsia="" w:cs="" w:cstheme="majorBidi" w:eastAsiaTheme="majorEastAsia"/>
          <w:b/>
          <w:b/>
          <w:szCs w:val="26"/>
          <w:lang w:val="en-US"/>
        </w:rPr>
      </w:pPr>
      <w:r>
        <w:rPr>
          <w:rFonts w:eastAsia="" w:cs="" w:cstheme="majorBidi" w:eastAsiaTheme="majorEastAsia"/>
          <w:b/>
          <w:szCs w:val="26"/>
          <w:lang w:val="en-US"/>
        </w:rPr>
      </w:r>
    </w:p>
    <w:p>
      <w:pPr>
        <w:pStyle w:val="Default"/>
        <w:spacing w:before="240" w:after="0"/>
        <w:jc w:val="both"/>
        <w:rPr>
          <w:i/>
          <w:i/>
          <w:lang w:val="en-US"/>
        </w:rPr>
      </w:pPr>
      <w:r>
        <w:rPr>
          <w:rFonts w:eastAsia="" w:cs="" w:cstheme="majorBidi" w:eastAsiaTheme="majorEastAsia"/>
          <w:b/>
          <w:szCs w:val="26"/>
          <w:lang w:val="en-US"/>
        </w:rPr>
        <w:t>1.3 Highlights of significant results</w:t>
      </w:r>
      <w:r>
        <w:rPr>
          <w:i/>
          <w:lang w:val="en-US"/>
        </w:rPr>
        <w:t xml:space="preserve"> </w:t>
      </w:r>
    </w:p>
    <w:p>
      <w:pPr>
        <w:pStyle w:val="Default"/>
        <w:jc w:val="both"/>
        <w:rPr>
          <w:sz w:val="23"/>
          <w:szCs w:val="23"/>
          <w:lang w:val="en-US"/>
        </w:rPr>
      </w:pPr>
      <w:r>
        <w:rPr>
          <w:i/>
          <w:lang w:val="en-US"/>
        </w:rPr>
        <w:t>[</w:t>
      </w:r>
      <w:r>
        <w:rPr>
          <w:i/>
          <w:sz w:val="23"/>
          <w:szCs w:val="23"/>
          <w:lang w:val="en-US"/>
        </w:rPr>
        <w:t>Include an overview of the project results towards the objectives in line with the structure of the Annex 1 to the Grant Agreement</w:t>
      </w:r>
      <w:r>
        <w:rPr>
          <w:sz w:val="23"/>
          <w:szCs w:val="23"/>
          <w:lang w:val="en-US"/>
        </w:rPr>
        <w:t>.</w:t>
      </w:r>
      <w:r>
        <w:rPr>
          <w:i/>
          <w:lang w:val="en-US"/>
        </w:rPr>
        <w:t>]</w:t>
      </w:r>
    </w:p>
    <w:p>
      <w:pPr>
        <w:pStyle w:val="Normal"/>
        <w:rPr>
          <w:lang w:val="en-US"/>
        </w:rPr>
      </w:pPr>
      <w:r>
        <w:rPr>
          <w:lang w:val="en-US"/>
        </w:rPr>
      </w:r>
    </w:p>
    <w:p>
      <w:pPr>
        <w:pStyle w:val="Normal"/>
        <w:rPr>
          <w:rFonts w:ascii="Times New Roman" w:hAnsi="Times New Roman" w:cs="Times New Roman"/>
          <w:lang w:val="en-GB"/>
        </w:rPr>
      </w:pPr>
      <w:r>
        <w:rPr>
          <w:rFonts w:cs="Times New Roman" w:ascii="Times New Roman" w:hAnsi="Times New Roman"/>
          <w:lang w:val="en-US"/>
        </w:rPr>
        <w:t xml:space="preserve">The highlight concerning Task 1 for this reporting period is the development of a framework to make the QCD evolution incarnated in the DGLAP equations, directly for physical quantities like structure functions in DIS, and not on quantities like parton densities which are dependent on the choice of scheme separation between short and long distance pieces in the physical observables, and on the renormalization scheme. This work, reflected in the publication </w:t>
      </w:r>
      <w:r>
        <w:rPr>
          <w:rFonts w:cs="Times New Roman" w:ascii="Times New Roman" w:hAnsi="Times New Roman"/>
          <w:i/>
          <w:iCs/>
          <w:highlight w:val="white"/>
          <w:lang w:val="en-GB"/>
        </w:rPr>
        <w:t>Evolution of structure functions in momentum space</w:t>
      </w:r>
      <w:r>
        <w:rPr>
          <w:rFonts w:cs="Times New Roman" w:ascii="Times New Roman" w:hAnsi="Times New Roman"/>
          <w:highlight w:val="white"/>
          <w:lang w:val="en-GB"/>
        </w:rPr>
        <w:t>,</w:t>
      </w:r>
      <w:r>
        <w:rPr>
          <w:rFonts w:cs="Times New Roman" w:ascii="Times New Roman" w:hAnsi="Times New Roman"/>
          <w:lang w:val="en-ES"/>
        </w:rPr>
        <w:t xml:space="preserve"> </w:t>
      </w:r>
      <w:r>
        <w:rPr>
          <w:rFonts w:cs="Times New Roman" w:ascii="Times New Roman" w:hAnsi="Times New Roman"/>
          <w:lang w:val="en-GB"/>
        </w:rPr>
        <w:t>Eur. Phys. J. C 84 (2024) 1, 84, T. Lappi, H. Mäntysaari, H. Paukkunen, M. Tevio (JYV), allows the elimination of ambiguities in evolution, while yielding the same result as the traditional approach checked up to next-to-leading order.</w:t>
      </w:r>
    </w:p>
    <w:p>
      <w:pPr>
        <w:pStyle w:val="Normal"/>
        <w:rPr>
          <w:rFonts w:ascii="Times New Roman" w:hAnsi="Times New Roman" w:cs="Times New Roman"/>
          <w:lang w:val="en-ES"/>
        </w:rPr>
      </w:pPr>
      <w:r>
        <w:rPr>
          <w:rFonts w:cs="Times New Roman" w:ascii="Times New Roman" w:hAnsi="Times New Roman"/>
          <w:lang w:val="en-GB"/>
        </w:rPr>
        <w:t xml:space="preserve">The highlight of Task 2 is the complete calculation of diffractive structure functions and cross sections in DIS at next-to-leading order, including both real and virtual corrections. The calculation, made in the framework of the CGC and the dipole model, and contained in the publication </w:t>
      </w:r>
      <w:r>
        <w:rPr>
          <w:rFonts w:cs="Times New Roman" w:ascii="Times New Roman" w:hAnsi="Times New Roman"/>
          <w:i/>
          <w:iCs/>
          <w:highlight w:val="white"/>
          <w:lang w:val="en-GB"/>
        </w:rPr>
        <w:t>Diffractive deep inelastic scattering at NLO in the dipole picture</w:t>
      </w:r>
      <w:r>
        <w:rPr>
          <w:rFonts w:cs="Times New Roman" w:ascii="Times New Roman" w:hAnsi="Times New Roman"/>
          <w:i/>
          <w:iCs/>
          <w:lang w:val="en-ES"/>
        </w:rPr>
        <w:t xml:space="preserve">, </w:t>
      </w:r>
      <w:r>
        <w:rPr>
          <w:rFonts w:cs="Times New Roman" w:ascii="Times New Roman" w:hAnsi="Times New Roman"/>
          <w:lang w:val="en-GB"/>
        </w:rPr>
        <w:t xml:space="preserve">JHEP 05 (2024) 024, G. Beuf, T. Lappi, H. Mäntysaari, R. Paatelainen, J. Penttala (JYV), is a step forward in precision for the comparison </w:t>
      </w:r>
      <w:r>
        <w:rPr>
          <w:rFonts w:cs="Times New Roman" w:ascii="Times New Roman" w:hAnsi="Times New Roman"/>
          <w:lang w:val="en-ES"/>
        </w:rPr>
        <w:t>of experimental data from HERA and the future EIC or eventual new DIS colliders, with QCD predictions implementing high-energy evolution and saturation. It required the development of several techniques to deal  with the existing singularities, techniques that will become of wider use.</w:t>
      </w:r>
    </w:p>
    <w:p>
      <w:pPr>
        <w:pStyle w:val="Normal"/>
        <w:rPr>
          <w:rFonts w:ascii="Times New Roman" w:hAnsi="Times New Roman" w:cs="Times New Roman"/>
          <w:lang w:val="en-GB"/>
        </w:rPr>
      </w:pPr>
      <w:r>
        <w:rPr>
          <w:rFonts w:cs="Times New Roman" w:ascii="Times New Roman" w:hAnsi="Times New Roman"/>
          <w:lang w:val="en-ES"/>
        </w:rPr>
        <w:t xml:space="preserve">Concerning Task 3, the highlight of the period is establising TMD factorization at next-to-leading order in dijet photoproduction off nuclei, as shown in publication </w:t>
      </w:r>
      <w:r>
        <w:rPr>
          <w:rFonts w:cs="Times New Roman" w:ascii="Times New Roman" w:hAnsi="Times New Roman"/>
          <w:i/>
          <w:iCs/>
          <w:highlight w:val="white"/>
          <w:lang w:val="en-GB"/>
        </w:rPr>
        <w:t>TMD factorisation for diffractive jets in photon-nucleus interactions</w:t>
      </w:r>
      <w:r>
        <w:rPr>
          <w:rFonts w:cs="Times New Roman" w:ascii="Times New Roman" w:hAnsi="Times New Roman"/>
          <w:lang w:val="en-GB"/>
        </w:rPr>
        <w:t xml:space="preserve">, </w:t>
      </w:r>
      <w:r>
        <w:rPr>
          <w:rFonts w:cs="Times New Roman" w:ascii="Times New Roman" w:hAnsi="Times New Roman"/>
          <w:lang w:val="en-ES"/>
        </w:rPr>
        <w:t xml:space="preserve">JHEP 06 (2024) 180, </w:t>
      </w:r>
      <w:r>
        <w:rPr>
          <w:rFonts w:cs="Times New Roman" w:ascii="Times New Roman" w:hAnsi="Times New Roman"/>
          <w:lang w:val="en-GB"/>
        </w:rPr>
        <w:t>S. Hauksson, E. Iancu (CEA), A. H. Mueller, D. N. Triantafyllopoulos (ECT*), S. Y. Wei. Establishing such factorisation is one of the expected deliverables (D13.3) of WP13 and complements in a different system the efforts in inclusive DIS to clarify the different divergences and the corresponding evolutions, finding a strong interplay between small-x and standard TMD evolution, see the corresponding publications above.</w:t>
      </w:r>
    </w:p>
    <w:p>
      <w:pPr>
        <w:pStyle w:val="Normal"/>
        <w:rPr>
          <w:rFonts w:ascii="Times New Roman" w:hAnsi="Times New Roman" w:cs="Times New Roman"/>
          <w:i/>
          <w:i/>
          <w:iCs/>
          <w:lang w:val="en-ES"/>
        </w:rPr>
      </w:pPr>
      <w:r>
        <w:rPr>
          <w:rFonts w:cs="Times New Roman" w:ascii="Times New Roman" w:hAnsi="Times New Roman"/>
          <w:lang w:val="en-GB"/>
        </w:rPr>
        <w:t xml:space="preserve">Finally, the highlight for Task 4 is the study on entanglement, decoherence and evolution of entropy in the BFKL framework, reflected in publication </w:t>
      </w:r>
      <w:r>
        <w:rPr>
          <w:rFonts w:cs="Times New Roman" w:ascii="Times New Roman" w:hAnsi="Times New Roman"/>
          <w:i/>
          <w:iCs/>
          <w:highlight w:val="white"/>
          <w:lang w:val="en-GB"/>
        </w:rPr>
        <w:t>Von Neumann entropy and Lindblad decoherence in the high energy limit of strong interactions</w:t>
      </w:r>
      <w:r>
        <w:rPr>
          <w:rFonts w:cs="Times New Roman" w:ascii="Times New Roman" w:hAnsi="Times New Roman"/>
          <w:lang w:val="en-GB"/>
        </w:rPr>
        <w:t>, Phys. Rev. D 109 (2024) 5, 054015, G. Chachamis, M. Hentschinski, A. Sabio Vera (UAM-LIP). In this work a rigorous approach to evolution in the BFKL setup was adopted, which demanded a regulation in the infrared. It complements more phenomenological studies and offers a link with the physics of open quantum systems through the Lindblad equation.</w:t>
      </w:r>
    </w:p>
    <w:p>
      <w:pPr>
        <w:pStyle w:val="Normal"/>
        <w:rPr>
          <w:rFonts w:ascii="Times New Roman" w:hAnsi="Times New Roman" w:cs="Times New Roman"/>
          <w:lang w:val="en-ES"/>
        </w:rPr>
      </w:pPr>
      <w:r>
        <w:rPr>
          <w:rFonts w:cs="Times New Roman" w:ascii="Times New Roman" w:hAnsi="Times New Roman"/>
          <w:lang w:val="en-ES"/>
        </w:rPr>
      </w:r>
    </w:p>
    <w:p>
      <w:pPr>
        <w:pStyle w:val="Normal"/>
        <w:keepNext w:val="true"/>
        <w:keepLines/>
        <w:numPr>
          <w:ilvl w:val="0"/>
          <w:numId w:val="1"/>
        </w:numPr>
        <w:tabs>
          <w:tab w:val="clear" w:pos="708"/>
          <w:tab w:val="left" w:pos="284" w:leader="none"/>
        </w:tabs>
        <w:spacing w:before="240" w:after="240"/>
        <w:ind w:left="0" w:hanging="0"/>
        <w:outlineLvl w:val="0"/>
        <w:rPr>
          <w:rFonts w:ascii="Times New Roman" w:hAnsi="Times New Roman" w:eastAsia="" w:cs="" w:cstheme="majorBidi" w:eastAsiaTheme="majorEastAsia"/>
          <w:color w:val="2E74B5" w:themeColor="accent1" w:themeShade="bf"/>
          <w:sz w:val="28"/>
          <w:szCs w:val="32"/>
          <w:lang w:val="en-US"/>
        </w:rPr>
      </w:pPr>
      <w:r>
        <w:rPr>
          <w:rFonts w:eastAsia="" w:cs="" w:ascii="Times New Roman" w:hAnsi="Times New Roman" w:cstheme="majorBidi" w:eastAsiaTheme="majorEastAsia"/>
          <w:color w:val="2E74B5" w:themeColor="accent1" w:themeShade="bf"/>
          <w:sz w:val="28"/>
          <w:szCs w:val="32"/>
          <w:lang w:val="en-US"/>
        </w:rPr>
        <w:t>Critical Implementation risks and mitigation actions</w:t>
      </w:r>
    </w:p>
    <w:p>
      <w:pPr>
        <w:pStyle w:val="Normal"/>
        <w:keepNext w:val="true"/>
        <w:keepLines/>
        <w:numPr>
          <w:ilvl w:val="0"/>
          <w:numId w:val="0"/>
        </w:numPr>
        <w:spacing w:before="40" w:after="0"/>
        <w:outlineLvl w:val="1"/>
        <w:rPr>
          <w:rFonts w:ascii="Times New Roman" w:hAnsi="Times New Roman" w:eastAsia="" w:cs="" w:cstheme="majorBidi" w:eastAsiaTheme="majorEastAsia"/>
          <w:b/>
          <w:b/>
          <w:sz w:val="24"/>
          <w:szCs w:val="26"/>
          <w:lang w:val="en-US"/>
        </w:rPr>
      </w:pPr>
      <w:r>
        <w:rPr>
          <w:rFonts w:eastAsia="" w:cs="" w:ascii="Times New Roman" w:hAnsi="Times New Roman" w:cstheme="majorBidi" w:eastAsiaTheme="majorEastAsia"/>
          <w:b/>
          <w:sz w:val="24"/>
          <w:szCs w:val="26"/>
          <w:lang w:val="en-US"/>
        </w:rPr>
        <w:t>2.1 Risk materialization</w:t>
      </w:r>
    </w:p>
    <w:p>
      <w:pPr>
        <w:pStyle w:val="Normal"/>
        <w:spacing w:lineRule="auto" w:line="240" w:before="0" w:after="0"/>
        <w:jc w:val="both"/>
        <w:rPr>
          <w:rFonts w:ascii="Times New Roman" w:hAnsi="Times New Roman" w:cs="Times New Roman"/>
          <w:color w:val="000000"/>
          <w:sz w:val="23"/>
          <w:szCs w:val="23"/>
          <w:lang w:val="en-US"/>
        </w:rPr>
      </w:pPr>
      <w:r>
        <w:rPr>
          <w:rFonts w:cs="Times New Roman" w:ascii="Times New Roman" w:hAnsi="Times New Roman"/>
          <w:i/>
          <w:color w:val="000000"/>
          <w:sz w:val="24"/>
          <w:szCs w:val="24"/>
          <w:lang w:val="en-US"/>
        </w:rPr>
        <w:t>[</w:t>
      </w:r>
      <w:r>
        <w:rPr>
          <w:rFonts w:cs="Times New Roman" w:ascii="Times New Roman" w:hAnsi="Times New Roman"/>
          <w:i/>
          <w:color w:val="000000"/>
          <w:sz w:val="23"/>
          <w:szCs w:val="23"/>
          <w:lang w:val="en-US"/>
        </w:rPr>
        <w:t>Provide the information on the project risks described in Annex 1 to the Grant Agreement</w:t>
      </w:r>
      <w:r>
        <w:rPr>
          <w:rFonts w:cs="Times New Roman" w:ascii="Times New Roman" w:hAnsi="Times New Roman"/>
          <w:color w:val="000000"/>
          <w:sz w:val="23"/>
          <w:szCs w:val="23"/>
          <w:lang w:val="en-US"/>
        </w:rPr>
        <w:t>.</w:t>
      </w:r>
      <w:r>
        <w:rPr>
          <w:rFonts w:cs="Times New Roman" w:ascii="Times New Roman" w:hAnsi="Times New Roman"/>
          <w:i/>
          <w:color w:val="000000"/>
          <w:sz w:val="24"/>
          <w:szCs w:val="24"/>
          <w:lang w:val="en-US"/>
        </w:rPr>
        <w:t>]</w:t>
      </w:r>
    </w:p>
    <w:p>
      <w:pPr>
        <w:pStyle w:val="Normal"/>
        <w:spacing w:before="0" w:after="0"/>
        <w:rPr>
          <w:rFonts w:ascii="Times New Roman" w:hAnsi="Times New Roman" w:cs="Times New Roman"/>
          <w:i/>
          <w:i/>
          <w:lang w:val="en-US"/>
        </w:rPr>
      </w:pPr>
      <w:r>
        <w:rPr>
          <w:rFonts w:cs="Times New Roman" w:ascii="Times New Roman" w:hAnsi="Times New Roman"/>
          <w:i/>
          <w:lang w:val="en-US"/>
        </w:rPr>
      </w:r>
    </w:p>
    <w:p>
      <w:pPr>
        <w:pStyle w:val="ListParagraph"/>
        <w:numPr>
          <w:ilvl w:val="0"/>
          <w:numId w:val="3"/>
        </w:numPr>
        <w:jc w:val="both"/>
        <w:rPr>
          <w:rFonts w:ascii="Times New Roman" w:hAnsi="Times New Roman" w:cs="Times New Roman"/>
          <w:lang w:val="en-US"/>
        </w:rPr>
      </w:pPr>
      <w:r>
        <w:rPr>
          <w:rFonts w:cs="Times New Roman" w:ascii="Times New Roman" w:hAnsi="Times New Roman"/>
          <w:lang w:val="en-US"/>
        </w:rPr>
        <w:t>Existing data from the LHC constrain nPDFs too weakly or are inconsistent with existing analyses (low)</w:t>
      </w:r>
    </w:p>
    <w:p>
      <w:pPr>
        <w:pStyle w:val="Normal"/>
        <w:jc w:val="both"/>
        <w:rPr>
          <w:rFonts w:ascii="Times New Roman" w:hAnsi="Times New Roman" w:cs="Times New Roman"/>
          <w:lang w:val="en-US"/>
        </w:rPr>
      </w:pPr>
      <w:r>
        <w:rPr>
          <w:rFonts w:cs="Times New Roman" w:ascii="Times New Roman" w:hAnsi="Times New Roman"/>
          <w:lang w:val="en-US"/>
        </w:rPr>
        <w:t>Whether the risk has materialized? (Yes/No) No</w:t>
      </w:r>
    </w:p>
    <w:p>
      <w:pPr>
        <w:pStyle w:val="ListParagraph"/>
        <w:numPr>
          <w:ilvl w:val="0"/>
          <w:numId w:val="3"/>
        </w:numPr>
        <w:jc w:val="both"/>
        <w:rPr>
          <w:rFonts w:ascii="Times New Roman" w:hAnsi="Times New Roman" w:cs="Times New Roman"/>
          <w:lang w:val="en-US"/>
        </w:rPr>
      </w:pPr>
      <w:r>
        <w:rPr>
          <w:rFonts w:cs="Times New Roman" w:ascii="Times New Roman" w:hAnsi="Times New Roman"/>
          <w:lang w:val="en-US"/>
        </w:rPr>
        <w:t>Existing observables on particle correlations in small systems cannot distinguish the hydrodynamic from the microscopic CGC description (low)</w:t>
      </w:r>
    </w:p>
    <w:p>
      <w:pPr>
        <w:pStyle w:val="Normal"/>
        <w:rPr>
          <w:rFonts w:ascii="Times New Roman" w:hAnsi="Times New Roman" w:cs="Times New Roman"/>
          <w:lang w:val="en-US"/>
        </w:rPr>
      </w:pPr>
      <w:r>
        <w:rPr>
          <w:rFonts w:cs="Times New Roman" w:ascii="Times New Roman" w:hAnsi="Times New Roman"/>
          <w:lang w:val="en-US"/>
        </w:rPr>
        <w:t>Whether the risk has materialized? (Yes/No) No</w:t>
      </w:r>
    </w:p>
    <w:p>
      <w:pPr>
        <w:pStyle w:val="Normal"/>
        <w:rPr>
          <w:rFonts w:ascii="Times New Roman" w:hAnsi="Times New Roman" w:cs="Times New Roman"/>
          <w:i/>
          <w:i/>
          <w:lang w:val="en-US"/>
        </w:rPr>
      </w:pPr>
      <w:r>
        <w:rPr>
          <w:rFonts w:cs="Times New Roman" w:ascii="Times New Roman" w:hAnsi="Times New Roman"/>
          <w:i/>
          <w:lang w:val="en-US"/>
        </w:rPr>
      </w:r>
    </w:p>
    <w:p>
      <w:pPr>
        <w:pStyle w:val="Normal"/>
        <w:keepNext w:val="true"/>
        <w:keepLines/>
        <w:numPr>
          <w:ilvl w:val="0"/>
          <w:numId w:val="0"/>
        </w:numPr>
        <w:spacing w:before="40" w:after="0"/>
        <w:jc w:val="both"/>
        <w:outlineLvl w:val="1"/>
        <w:rPr>
          <w:rFonts w:ascii="Times New Roman" w:hAnsi="Times New Roman" w:eastAsia="" w:cs="" w:cstheme="majorBidi" w:eastAsiaTheme="majorEastAsia"/>
          <w:b/>
          <w:b/>
          <w:sz w:val="24"/>
          <w:szCs w:val="26"/>
          <w:lang w:val="en-US"/>
        </w:rPr>
      </w:pPr>
      <w:r>
        <w:rPr>
          <w:rFonts w:eastAsia="" w:cs="" w:ascii="Times New Roman" w:hAnsi="Times New Roman" w:cstheme="majorBidi" w:eastAsiaTheme="majorEastAsia"/>
          <w:b/>
          <w:sz w:val="24"/>
          <w:szCs w:val="26"/>
          <w:lang w:val="en-US"/>
        </w:rPr>
        <w:t>2.2 Risk-mitigation measures applied</w:t>
      </w:r>
    </w:p>
    <w:p>
      <w:pPr>
        <w:pStyle w:val="Normal"/>
        <w:spacing w:lineRule="auto" w:line="240" w:before="0" w:after="0"/>
        <w:jc w:val="both"/>
        <w:rPr>
          <w:rFonts w:ascii="Times New Roman" w:hAnsi="Times New Roman" w:cs="Times New Roman"/>
          <w:color w:val="000000"/>
          <w:sz w:val="23"/>
          <w:szCs w:val="23"/>
          <w:lang w:val="en-US"/>
        </w:rPr>
      </w:pPr>
      <w:r>
        <w:rPr>
          <w:rFonts w:cs="Times New Roman" w:ascii="Times New Roman" w:hAnsi="Times New Roman"/>
          <w:i/>
          <w:color w:val="000000"/>
          <w:sz w:val="24"/>
          <w:szCs w:val="24"/>
          <w:lang w:val="en-US"/>
        </w:rPr>
        <w:t>[</w:t>
      </w:r>
      <w:r>
        <w:rPr>
          <w:rFonts w:cs="Times New Roman" w:ascii="Times New Roman" w:hAnsi="Times New Roman"/>
          <w:i/>
          <w:color w:val="000000"/>
          <w:sz w:val="23"/>
          <w:szCs w:val="23"/>
          <w:lang w:val="en-US"/>
        </w:rPr>
        <w:t>Please indicate whether the risk-mitigation plan described in Annex 1 to the Grant Agreement and corresponding to the risk number was applied in the reporting period</w:t>
      </w:r>
      <w:r>
        <w:rPr>
          <w:rFonts w:cs="Times New Roman" w:ascii="Times New Roman" w:hAnsi="Times New Roman"/>
          <w:color w:val="000000"/>
          <w:sz w:val="23"/>
          <w:szCs w:val="23"/>
          <w:lang w:val="en-US"/>
        </w:rPr>
        <w:t>.</w:t>
      </w:r>
      <w:r>
        <w:rPr>
          <w:rFonts w:cs="Times New Roman" w:ascii="Times New Roman" w:hAnsi="Times New Roman"/>
          <w:i/>
          <w:color w:val="000000"/>
          <w:sz w:val="24"/>
          <w:szCs w:val="24"/>
          <w:lang w:val="en-US"/>
        </w:rPr>
        <w:t>]</w:t>
      </w:r>
    </w:p>
    <w:p>
      <w:pPr>
        <w:pStyle w:val="Normal"/>
        <w:spacing w:before="0" w:after="0"/>
        <w:rPr>
          <w:rFonts w:ascii="Times New Roman" w:hAnsi="Times New Roman" w:cs="Times New Roman"/>
          <w:lang w:val="en-US"/>
        </w:rPr>
      </w:pPr>
      <w:r>
        <w:rPr>
          <w:rFonts w:cs="Times New Roman" w:ascii="Times New Roman" w:hAnsi="Times New Roman"/>
          <w:lang w:val="en-US"/>
        </w:rPr>
      </w:r>
    </w:p>
    <w:p>
      <w:pPr>
        <w:pStyle w:val="ListParagraph"/>
        <w:numPr>
          <w:ilvl w:val="0"/>
          <w:numId w:val="4"/>
        </w:numPr>
        <w:rPr>
          <w:rFonts w:ascii="Times New Roman" w:hAnsi="Times New Roman" w:cs="Times New Roman"/>
          <w:lang w:val="en-US"/>
        </w:rPr>
      </w:pPr>
      <w:r>
        <w:rPr>
          <w:rFonts w:cs="Times New Roman" w:ascii="Times New Roman" w:hAnsi="Times New Roman"/>
          <w:lang w:val="en-US"/>
        </w:rPr>
        <w:t>Propose other observables to be measured in future runs at the LHC that could be constraining or verify the found inconsistencies</w:t>
      </w:r>
    </w:p>
    <w:p>
      <w:pPr>
        <w:pStyle w:val="Normal"/>
        <w:rPr>
          <w:rFonts w:ascii="Times New Roman" w:hAnsi="Times New Roman" w:cs="Times New Roman"/>
          <w:lang w:val="en-US"/>
        </w:rPr>
      </w:pPr>
      <w:r>
        <w:rPr>
          <w:rFonts w:cs="Times New Roman" w:ascii="Times New Roman" w:hAnsi="Times New Roman"/>
          <w:lang w:val="en-US"/>
        </w:rPr>
        <w:t>Whether the risk-mitigation plan was applied? (Yes/No) No</w:t>
      </w:r>
    </w:p>
    <w:p>
      <w:pPr>
        <w:pStyle w:val="ListParagraph"/>
        <w:numPr>
          <w:ilvl w:val="0"/>
          <w:numId w:val="4"/>
        </w:numPr>
        <w:rPr>
          <w:rFonts w:ascii="Times New Roman" w:hAnsi="Times New Roman" w:cs="Times New Roman"/>
          <w:lang w:val="en-US"/>
        </w:rPr>
      </w:pPr>
      <w:r>
        <w:rPr>
          <w:rFonts w:cs="Times New Roman" w:ascii="Times New Roman" w:hAnsi="Times New Roman"/>
          <w:lang w:val="en-US"/>
        </w:rPr>
        <w:t>Propose alternative observables, or consistency checks for both explanations</w:t>
      </w:r>
    </w:p>
    <w:p>
      <w:pPr>
        <w:pStyle w:val="Normal"/>
        <w:rPr>
          <w:rFonts w:ascii="Times New Roman" w:hAnsi="Times New Roman" w:cs="Times New Roman"/>
          <w:lang w:val="en-US"/>
        </w:rPr>
      </w:pPr>
      <w:r>
        <w:rPr>
          <w:rFonts w:cs="Times New Roman" w:ascii="Times New Roman" w:hAnsi="Times New Roman"/>
          <w:lang w:val="en-US"/>
        </w:rPr>
        <w:t>Whether the risk-mitigation plan was applied? (Yes/No) No</w:t>
      </w:r>
    </w:p>
    <w:p>
      <w:pPr>
        <w:pStyle w:val="Normal"/>
        <w:rPr>
          <w:rFonts w:ascii="Times New Roman" w:hAnsi="Times New Roman" w:cs="Times New Roman"/>
          <w:lang w:val="en-US"/>
        </w:rPr>
      </w:pPr>
      <w:r>
        <w:rPr>
          <w:rFonts w:cs="Times New Roman" w:ascii="Times New Roman" w:hAnsi="Times New Roman"/>
          <w:lang w:val="en-US"/>
        </w:rPr>
      </w:r>
    </w:p>
    <w:p>
      <w:pPr>
        <w:pStyle w:val="Normal"/>
        <w:keepNext w:val="true"/>
        <w:keepLines/>
        <w:numPr>
          <w:ilvl w:val="0"/>
          <w:numId w:val="0"/>
        </w:numPr>
        <w:spacing w:before="40" w:after="0"/>
        <w:jc w:val="both"/>
        <w:outlineLvl w:val="1"/>
        <w:rPr>
          <w:rFonts w:ascii="Times New Roman" w:hAnsi="Times New Roman" w:eastAsia="" w:cs="" w:cstheme="majorBidi" w:eastAsiaTheme="majorEastAsia"/>
          <w:b/>
          <w:b/>
          <w:sz w:val="24"/>
          <w:szCs w:val="26"/>
          <w:lang w:val="en-US"/>
        </w:rPr>
      </w:pPr>
      <w:r>
        <w:rPr>
          <w:rFonts w:eastAsia="" w:cs="" w:ascii="Times New Roman" w:hAnsi="Times New Roman" w:cstheme="majorBidi" w:eastAsiaTheme="majorEastAsia"/>
          <w:b/>
          <w:sz w:val="24"/>
          <w:szCs w:val="26"/>
          <w:lang w:val="en-US"/>
        </w:rPr>
        <w:t>2.3 Comments/new risk-mitigation measures proposed</w:t>
      </w:r>
    </w:p>
    <w:p>
      <w:pPr>
        <w:pStyle w:val="Normal"/>
        <w:spacing w:lineRule="auto" w:line="240" w:before="0" w:after="0"/>
        <w:jc w:val="both"/>
        <w:rPr>
          <w:rFonts w:ascii="Times New Roman" w:hAnsi="Times New Roman" w:cs="Times New Roman"/>
          <w:color w:val="000000"/>
          <w:sz w:val="23"/>
          <w:szCs w:val="23"/>
          <w:lang w:val="en-US"/>
        </w:rPr>
      </w:pPr>
      <w:r>
        <w:rPr>
          <w:rFonts w:cs="Times New Roman" w:ascii="Times New Roman" w:hAnsi="Times New Roman"/>
          <w:i/>
          <w:color w:val="000000"/>
          <w:sz w:val="24"/>
          <w:szCs w:val="24"/>
          <w:lang w:val="en-US"/>
        </w:rPr>
        <w:t>[</w:t>
      </w:r>
      <w:r>
        <w:rPr>
          <w:rFonts w:cs="Times New Roman" w:ascii="Times New Roman" w:hAnsi="Times New Roman"/>
          <w:i/>
          <w:color w:val="000000"/>
          <w:sz w:val="23"/>
          <w:szCs w:val="23"/>
          <w:lang w:val="en-US"/>
        </w:rPr>
        <w:t>Provide any significant comments on the risks encountered and the mitigation plan applied. Give any unforeseen risks encountered during the reporting period and not mentioned above</w:t>
      </w:r>
      <w:r>
        <w:rPr>
          <w:rFonts w:cs="Times New Roman" w:ascii="Times New Roman" w:hAnsi="Times New Roman"/>
          <w:color w:val="000000"/>
          <w:sz w:val="23"/>
          <w:szCs w:val="23"/>
          <w:lang w:val="en-US"/>
        </w:rPr>
        <w:t>.</w:t>
      </w:r>
      <w:r>
        <w:rPr>
          <w:rFonts w:cs="Times New Roman" w:ascii="Times New Roman" w:hAnsi="Times New Roman"/>
          <w:i/>
          <w:color w:val="000000"/>
          <w:sz w:val="24"/>
          <w:szCs w:val="24"/>
          <w:lang w:val="en-US"/>
        </w:rPr>
        <w:t>]</w:t>
      </w:r>
    </w:p>
    <w:p>
      <w:pPr>
        <w:pStyle w:val="Normal"/>
        <w:rPr>
          <w:lang w:val="en-US"/>
        </w:rPr>
      </w:pPr>
      <w:r>
        <w:rPr>
          <w:lang w:val="en-US"/>
        </w:rPr>
      </w:r>
    </w:p>
    <w:p>
      <w:pPr>
        <w:pStyle w:val="Normal"/>
        <w:rPr>
          <w:rFonts w:ascii="Times New Roman" w:hAnsi="Times New Roman" w:cs="Times New Roman"/>
          <w:i/>
          <w:i/>
          <w:lang w:val="en-US"/>
        </w:rPr>
      </w:pPr>
      <w:r>
        <w:rPr>
          <w:rFonts w:cs="Times New Roman" w:ascii="Times New Roman" w:hAnsi="Times New Roman"/>
          <w:i/>
          <w:lang w:val="en-US"/>
        </w:rPr>
      </w:r>
      <w:r>
        <w:br w:type="page"/>
      </w:r>
    </w:p>
    <w:p>
      <w:pPr>
        <w:pStyle w:val="Normal"/>
        <w:keepNext w:val="true"/>
        <w:keepLines/>
        <w:numPr>
          <w:ilvl w:val="0"/>
          <w:numId w:val="0"/>
        </w:numPr>
        <w:spacing w:before="40" w:after="0"/>
        <w:jc w:val="both"/>
        <w:outlineLvl w:val="1"/>
        <w:rPr>
          <w:rFonts w:ascii="Times New Roman" w:hAnsi="Times New Roman" w:eastAsia="" w:cs="" w:cstheme="majorBidi" w:eastAsiaTheme="majorEastAsia"/>
          <w:color w:val="0070C0"/>
          <w:sz w:val="28"/>
          <w:szCs w:val="32"/>
          <w:lang w:val="en-US"/>
        </w:rPr>
      </w:pPr>
      <w:r>
        <w:rPr>
          <w:rFonts w:eastAsia="" w:cs="" w:ascii="Times New Roman" w:hAnsi="Times New Roman" w:cstheme="majorBidi" w:eastAsiaTheme="majorEastAsia"/>
          <w:color w:val="0070C0"/>
          <w:sz w:val="28"/>
          <w:szCs w:val="32"/>
          <w:lang w:val="en-US"/>
        </w:rPr>
        <w:t>3. Deviations from Annex 1 (Description of Action) and Annex 2 (Estimated budget for Action) (if applicable)</w:t>
      </w:r>
    </w:p>
    <w:p>
      <w:pPr>
        <w:pStyle w:val="Normal"/>
        <w:keepNext w:val="true"/>
        <w:keepLines/>
        <w:numPr>
          <w:ilvl w:val="0"/>
          <w:numId w:val="0"/>
        </w:numPr>
        <w:spacing w:before="40" w:after="0"/>
        <w:jc w:val="both"/>
        <w:outlineLvl w:val="1"/>
        <w:rPr>
          <w:rFonts w:ascii="Times New Roman" w:hAnsi="Times New Roman" w:eastAsia="" w:cs="" w:cstheme="majorBidi" w:eastAsiaTheme="majorEastAsia"/>
          <w:b/>
          <w:b/>
          <w:sz w:val="24"/>
          <w:szCs w:val="26"/>
          <w:lang w:val="en-US"/>
        </w:rPr>
      </w:pPr>
      <w:r>
        <w:rPr>
          <w:rFonts w:eastAsia="" w:cs="" w:ascii="Times New Roman" w:hAnsi="Times New Roman" w:cstheme="majorBidi" w:eastAsiaTheme="majorEastAsia"/>
          <w:b/>
          <w:sz w:val="24"/>
          <w:szCs w:val="26"/>
          <w:lang w:val="en-US"/>
        </w:rPr>
        <w:t>3.1 Deviations from planned objectives and tasks, and their impact on the progress of the work package</w:t>
      </w:r>
    </w:p>
    <w:p>
      <w:pPr>
        <w:pStyle w:val="Normal"/>
        <w:spacing w:before="0" w:after="0"/>
        <w:jc w:val="both"/>
        <w:rPr>
          <w:rFonts w:ascii="Times New Roman" w:hAnsi="Times New Roman" w:cs="Times New Roman"/>
          <w:i/>
          <w:i/>
          <w:lang w:val="en-US"/>
        </w:rPr>
      </w:pPr>
      <w:r>
        <w:rPr>
          <w:rFonts w:cs="Times New Roman" w:ascii="Times New Roman" w:hAnsi="Times New Roman"/>
          <w:i/>
          <w:lang w:val="en-US"/>
        </w:rPr>
        <w:t>[Explain the reasons for deviations, the consequences and the proposed corrective actions.]</w:t>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pPr>
      <w:r>
        <w:rPr>
          <w:rFonts w:cs="Times New Roman" w:ascii="Times New Roman" w:hAnsi="Times New Roman"/>
          <w:lang w:val="en-US"/>
        </w:rPr>
        <w:t>No deviation from the planned scientific objectives and tasks is observed, as shown in Table 1.2. Workshops at ECT* have been organized in May 2023 (</w:t>
      </w:r>
      <w:hyperlink r:id="rId2">
        <w:r>
          <w:rPr>
            <w:rStyle w:val="InternetLink"/>
            <w:rFonts w:cs="Times New Roman" w:ascii="Times New Roman" w:hAnsi="Times New Roman"/>
            <w:lang w:val="en-US"/>
          </w:rPr>
          <w:t>https://www.ectstar.eu/workshops/color-glass-condensate-at-the-electron-ion-collider/</w:t>
        </w:r>
      </w:hyperlink>
      <w:r>
        <w:rPr>
          <w:rFonts w:cs="Times New Roman" w:ascii="Times New Roman" w:hAnsi="Times New Roman"/>
          <w:lang w:val="en-US"/>
        </w:rPr>
        <w:t>) and June 2024 (</w:t>
      </w:r>
      <w:hyperlink r:id="rId3">
        <w:r>
          <w:rPr>
            <w:rStyle w:val="InternetLink"/>
            <w:rFonts w:cs="Times New Roman" w:ascii="Times New Roman" w:hAnsi="Times New Roman"/>
            <w:lang w:val="en-US"/>
          </w:rPr>
          <w:t>https://www.ectstar.eu/workshops/diffraction-and-gluon-saturation-at-the-lhc-and-the-eic/</w:t>
        </w:r>
      </w:hyperlink>
      <w:r>
        <w:rPr>
          <w:rFonts w:cs="Times New Roman" w:ascii="Times New Roman" w:hAnsi="Times New Roman"/>
          <w:lang w:val="en-US"/>
        </w:rPr>
        <w:t>).</w:t>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rPr>
          <w:rFonts w:ascii="Times New Roman" w:hAnsi="Times New Roman" w:cs="Times New Roman"/>
          <w:i/>
          <w:i/>
          <w:lang w:val="en-US"/>
        </w:rPr>
      </w:pPr>
      <w:r>
        <w:rPr>
          <w:rFonts w:cs="Times New Roman" w:ascii="Times New Roman" w:hAnsi="Times New Roman"/>
          <w:i/>
          <w:lang w:val="en-US"/>
        </w:rPr>
      </w:r>
    </w:p>
    <w:p>
      <w:pPr>
        <w:pStyle w:val="Normal"/>
        <w:keepNext w:val="true"/>
        <w:keepLines/>
        <w:numPr>
          <w:ilvl w:val="0"/>
          <w:numId w:val="0"/>
        </w:numPr>
        <w:spacing w:before="40" w:after="0"/>
        <w:outlineLvl w:val="1"/>
        <w:rPr>
          <w:rFonts w:ascii="Times New Roman" w:hAnsi="Times New Roman" w:eastAsia="" w:cs="" w:cstheme="majorBidi" w:eastAsiaTheme="majorEastAsia"/>
          <w:b/>
          <w:b/>
          <w:sz w:val="24"/>
          <w:szCs w:val="26"/>
          <w:lang w:val="en-US"/>
        </w:rPr>
      </w:pPr>
      <w:r>
        <w:rPr>
          <w:rFonts w:eastAsia="" w:cs="" w:ascii="Times New Roman" w:hAnsi="Times New Roman" w:cstheme="majorBidi" w:eastAsiaTheme="majorEastAsia"/>
          <w:b/>
          <w:sz w:val="24"/>
          <w:szCs w:val="26"/>
          <w:lang w:val="en-US"/>
        </w:rPr>
        <w:t>3.2 Deviations between actual and planned person months</w:t>
      </w:r>
    </w:p>
    <w:p>
      <w:pPr>
        <w:pStyle w:val="Normal"/>
        <w:jc w:val="both"/>
        <w:rPr>
          <w:rFonts w:ascii="Times New Roman" w:hAnsi="Times New Roman" w:cs="Times New Roman"/>
          <w:i/>
          <w:i/>
          <w:lang w:val="en-US"/>
        </w:rPr>
      </w:pPr>
      <w:r>
        <w:rPr>
          <w:rFonts w:cs="Times New Roman" w:ascii="Times New Roman" w:hAnsi="Times New Roman"/>
          <w:i/>
          <w:lang w:val="en-US"/>
        </w:rPr>
        <w:t>[Explain deviations between actual and planned person-months. If applicable, propose corrective actions.]</w:t>
      </w:r>
    </w:p>
    <w:p>
      <w:pPr>
        <w:pStyle w:val="Default"/>
        <w:rPr/>
      </w:pPr>
      <w:r>
        <w:rPr>
          <w:lang w:val="en-US"/>
        </w:rPr>
        <w:t>The use of person-months funded by the project has proceeded as planned. Florian Cougoulic was a joint postdoc between JYU and USC, partially funded by STRONG2020. He has been at JYU until the end of April 2022 (i.e., person-months at JYU are spent), started</w:t>
      </w:r>
      <w:r>
        <w:rPr>
          <w:rFonts w:eastAsia="Calibri"/>
          <w:lang w:val="en-US"/>
        </w:rPr>
        <w:t xml:space="preserve"> at</w:t>
      </w:r>
      <w:r>
        <w:rPr>
          <w:lang w:val="en-US"/>
        </w:rPr>
        <w:t xml:space="preserve"> USC at the beginning of May 2022 (person-months are spent), to continue at USC until the end of August 2024 supported by other grants. Víctor Vila was a joint postdoc between CNRS (Polytechnique) and IFJ PAN and has been for 12 months at École Polytechnique (i.e., person-months spent) and afterwards 12 months at IFJ PAN (person-months spent), to later go to IST-Lisbon supported by other funds.</w:t>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pStyle w:val="Normal"/>
        <w:rPr>
          <w:rFonts w:ascii="Times New Roman" w:hAnsi="Times New Roman" w:cs="Times New Roman"/>
          <w:lang w:val="en-US"/>
        </w:rPr>
      </w:pPr>
      <w:r>
        <w:rPr>
          <w:rFonts w:cs="Times New Roman" w:ascii="Times New Roman" w:hAnsi="Times New Roman"/>
          <w:lang w:val="en-US"/>
        </w:rPr>
      </w:r>
    </w:p>
    <w:p>
      <w:pPr>
        <w:sectPr>
          <w:type w:val="nextPage"/>
          <w:pgSz w:w="11906" w:h="16838"/>
          <w:pgMar w:left="1417" w:right="1417" w:header="0" w:top="1417" w:footer="0" w:bottom="1417" w:gutter="0"/>
          <w:pgNumType w:fmt="decimal"/>
          <w:formProt w:val="false"/>
          <w:textDirection w:val="lrTb"/>
          <w:docGrid w:type="default" w:linePitch="360" w:charSpace="4096"/>
        </w:sectPr>
        <w:pStyle w:val="Normal"/>
        <w:rPr>
          <w:rFonts w:ascii="Times New Roman" w:hAnsi="Times New Roman" w:cs="Times New Roman"/>
          <w:lang w:val="en-US"/>
        </w:rPr>
      </w:pPr>
      <w:r>
        <w:rPr>
          <w:rFonts w:cs="Times New Roman" w:ascii="Times New Roman" w:hAnsi="Times New Roman"/>
          <w:lang w:val="en-US"/>
        </w:rPr>
      </w:r>
    </w:p>
    <w:p>
      <w:pPr>
        <w:pStyle w:val="Normal"/>
        <w:keepNext w:val="true"/>
        <w:keepLines/>
        <w:numPr>
          <w:ilvl w:val="0"/>
          <w:numId w:val="2"/>
        </w:numPr>
        <w:tabs>
          <w:tab w:val="clear" w:pos="708"/>
          <w:tab w:val="left" w:pos="284" w:leader="none"/>
        </w:tabs>
        <w:spacing w:before="240" w:after="0"/>
        <w:ind w:left="720" w:hanging="720"/>
        <w:contextualSpacing/>
        <w:outlineLvl w:val="0"/>
        <w:rPr>
          <w:rFonts w:ascii="Times New Roman" w:hAnsi="Times New Roman" w:eastAsia="" w:cs="" w:cstheme="majorBidi" w:eastAsiaTheme="majorEastAsia"/>
          <w:color w:val="0070C0"/>
          <w:sz w:val="28"/>
          <w:szCs w:val="32"/>
          <w:lang w:val="en-US"/>
        </w:rPr>
      </w:pPr>
      <w:r>
        <w:rPr>
          <w:rFonts w:eastAsia="" w:cs="" w:ascii="Times New Roman" w:hAnsi="Times New Roman" w:cstheme="majorBidi" w:eastAsiaTheme="majorEastAsia"/>
          <w:color w:val="0070C0"/>
          <w:sz w:val="28"/>
          <w:szCs w:val="32"/>
          <w:lang w:val="en-US"/>
        </w:rPr>
        <w:t>Deliverables and milestones tables</w:t>
      </w:r>
    </w:p>
    <w:p>
      <w:pPr>
        <w:pStyle w:val="Normal"/>
        <w:keepNext w:val="true"/>
        <w:keepLines/>
        <w:numPr>
          <w:ilvl w:val="0"/>
          <w:numId w:val="0"/>
        </w:numPr>
        <w:spacing w:before="40" w:after="0"/>
        <w:outlineLvl w:val="1"/>
        <w:rPr>
          <w:rFonts w:ascii="Times New Roman" w:hAnsi="Times New Roman" w:eastAsia="" w:cs="" w:cstheme="majorBidi" w:eastAsiaTheme="majorEastAsia"/>
          <w:b/>
          <w:b/>
          <w:sz w:val="24"/>
          <w:szCs w:val="26"/>
          <w:lang w:val="en-US"/>
        </w:rPr>
      </w:pPr>
      <w:r>
        <w:rPr>
          <w:rFonts w:eastAsia="" w:cs="" w:ascii="Times New Roman" w:hAnsi="Times New Roman" w:cstheme="majorBidi" w:eastAsiaTheme="majorEastAsia"/>
          <w:b/>
          <w:sz w:val="24"/>
          <w:szCs w:val="26"/>
          <w:lang w:val="en-US"/>
        </w:rPr>
        <w:t>4.1 Deliverables</w:t>
      </w:r>
    </w:p>
    <w:p>
      <w:pPr>
        <w:pStyle w:val="Normal"/>
        <w:spacing w:lineRule="auto" w:line="240" w:before="0" w:after="0"/>
        <w:jc w:val="both"/>
        <w:rPr>
          <w:rFonts w:ascii="Times New Roman" w:hAnsi="Times New Roman" w:eastAsia="Times New Roman" w:cs="Times New Roman"/>
          <w:i/>
          <w:i/>
          <w:lang w:val="en-US" w:eastAsia="en-GB"/>
        </w:rPr>
      </w:pPr>
      <w:r>
        <w:rPr>
          <w:rFonts w:eastAsia="Times New Roman" w:cs="Times New Roman" w:ascii="Times New Roman" w:hAnsi="Times New Roman"/>
          <w:i/>
          <w:lang w:val="en-US" w:eastAsia="en-GB"/>
        </w:rPr>
        <w:t>[Please list all the deliverables due in this reporting period, as indicated in Annex I.</w:t>
      </w:r>
    </w:p>
    <w:p>
      <w:pPr>
        <w:pStyle w:val="Normal"/>
        <w:spacing w:lineRule="auto" w:line="240" w:before="0" w:after="0"/>
        <w:jc w:val="both"/>
        <w:rPr>
          <w:rFonts w:ascii="Times New Roman" w:hAnsi="Times New Roman" w:eastAsia="Times New Roman" w:cs="Times New Roman"/>
          <w:i/>
          <w:i/>
          <w:lang w:val="en-US" w:eastAsia="en-GB"/>
        </w:rPr>
      </w:pPr>
      <w:r>
        <w:rPr>
          <w:rFonts w:eastAsia="Times New Roman" w:cs="Times New Roman" w:ascii="Times New Roman" w:hAnsi="Times New Roman"/>
          <w:i/>
          <w:lang w:val="en-US" w:eastAsia="en-GB"/>
        </w:rPr>
        <w:t>Deliverables must also be accompanied by a short report (deliverable description and technical documentation, such as photo, list of publications, etc.), so that the European Commission has a record of their existence.]</w:t>
      </w:r>
    </w:p>
    <w:p>
      <w:pPr>
        <w:pStyle w:val="Normal"/>
        <w:rPr>
          <w:lang w:val="en-US"/>
        </w:rPr>
      </w:pPr>
      <w:r>
        <w:rPr>
          <w:lang w:val="en-US"/>
        </w:rPr>
      </w:r>
    </w:p>
    <w:p>
      <w:pPr>
        <w:pStyle w:val="Normal"/>
        <w:rPr>
          <w:rFonts w:ascii="Times New Roman" w:hAnsi="Times New Roman" w:cs="Times New Roman"/>
          <w:b/>
          <w:b/>
          <w:i/>
          <w:i/>
          <w:sz w:val="24"/>
          <w:lang w:val="en-US"/>
        </w:rPr>
      </w:pPr>
      <w:r>
        <w:rPr>
          <w:rFonts w:cs="Times New Roman" w:ascii="Times New Roman" w:hAnsi="Times New Roman"/>
          <w:b/>
          <w:i/>
          <w:sz w:val="24"/>
          <w:lang w:val="en-US"/>
        </w:rPr>
        <w:t>Table 4.1 List of deliverables</w:t>
      </w:r>
    </w:p>
    <w:tbl>
      <w:tblPr>
        <w:tblW w:w="5000" w:type="pct"/>
        <w:jc w:val="left"/>
        <w:tblInd w:w="0" w:type="dxa"/>
        <w:tblCellMar>
          <w:top w:w="0" w:type="dxa"/>
          <w:left w:w="108" w:type="dxa"/>
          <w:bottom w:w="0" w:type="dxa"/>
          <w:right w:w="108" w:type="dxa"/>
        </w:tblCellMar>
        <w:tblLook w:noVBand="1" w:val="04a0" w:noHBand="0" w:lastColumn="0" w:firstColumn="1" w:lastRow="0" w:firstRow="1"/>
      </w:tblPr>
      <w:tblGrid>
        <w:gridCol w:w="1362"/>
        <w:gridCol w:w="1402"/>
        <w:gridCol w:w="1362"/>
        <w:gridCol w:w="920"/>
        <w:gridCol w:w="1639"/>
        <w:gridCol w:w="1064"/>
        <w:gridCol w:w="1181"/>
        <w:gridCol w:w="1023"/>
        <w:gridCol w:w="4049"/>
      </w:tblGrid>
      <w:tr>
        <w:trPr>
          <w:tblHeader w:val="true"/>
          <w:trHeight w:val="340" w:hRule="atLeast"/>
          <w:cantSplit w:val="true"/>
        </w:trPr>
        <w:tc>
          <w:tcPr>
            <w:tcW w:w="13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Deliverable No.</w:t>
            </w:r>
          </w:p>
        </w:tc>
        <w:tc>
          <w:tcPr>
            <w:tcW w:w="140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Deliverable name</w:t>
            </w:r>
          </w:p>
        </w:tc>
        <w:tc>
          <w:tcPr>
            <w:tcW w:w="13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Lead Beneficiary</w:t>
            </w:r>
          </w:p>
        </w:tc>
        <w:tc>
          <w:tcPr>
            <w:tcW w:w="92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Nature</w:t>
            </w:r>
          </w:p>
        </w:tc>
        <w:tc>
          <w:tcPr>
            <w:tcW w:w="16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Dissemination level</w:t>
            </w:r>
            <w:r>
              <w:rPr>
                <w:rStyle w:val="FootnoteAnchor"/>
                <w:rFonts w:eastAsia="Times New Roman" w:cs="Times New Roman" w:ascii="Times New Roman" w:hAnsi="Times New Roman"/>
                <w:b/>
                <w:sz w:val="24"/>
                <w:szCs w:val="24"/>
                <w:vertAlign w:val="superscript"/>
                <w:lang w:val="en-GB" w:eastAsia="en-GB"/>
              </w:rPr>
              <w:footnoteReference w:id="2"/>
            </w:r>
          </w:p>
        </w:tc>
        <w:tc>
          <w:tcPr>
            <w:tcW w:w="106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Delivery month from Annex I</w:t>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Delivered</w:t>
            </w:r>
          </w:p>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(yes/no)</w:t>
            </w:r>
          </w:p>
        </w:tc>
        <w:tc>
          <w:tcPr>
            <w:tcW w:w="10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Actual delivery month</w:t>
            </w:r>
          </w:p>
        </w:tc>
        <w:tc>
          <w:tcPr>
            <w:tcW w:w="40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Comments</w:t>
            </w:r>
          </w:p>
        </w:tc>
      </w:tr>
      <w:tr>
        <w:trPr>
          <w:trHeight w:val="340" w:hRule="atLeast"/>
          <w:cantSplit w:val="true"/>
        </w:trPr>
        <w:tc>
          <w:tcPr>
            <w:tcW w:w="13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D13.1</w:t>
            </w:r>
          </w:p>
        </w:tc>
        <w:tc>
          <w:tcPr>
            <w:tcW w:w="140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NPDFs</w:t>
            </w:r>
          </w:p>
        </w:tc>
        <w:tc>
          <w:tcPr>
            <w:tcW w:w="13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23 - JYU</w:t>
            </w:r>
          </w:p>
        </w:tc>
        <w:tc>
          <w:tcPr>
            <w:tcW w:w="92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Report</w:t>
            </w:r>
          </w:p>
        </w:tc>
        <w:tc>
          <w:tcPr>
            <w:tcW w:w="16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PU</w:t>
            </w:r>
          </w:p>
        </w:tc>
        <w:tc>
          <w:tcPr>
            <w:tcW w:w="106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54</w:t>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yes</w:t>
            </w:r>
          </w:p>
        </w:tc>
        <w:tc>
          <w:tcPr>
            <w:tcW w:w="10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36</w:t>
            </w:r>
          </w:p>
        </w:tc>
        <w:tc>
          <w:tcPr>
            <w:tcW w:w="40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eastAsia="Times New Roman" w:cs="Times New Roman"/>
                <w:sz w:val="24"/>
                <w:szCs w:val="24"/>
                <w:lang w:val="en-ES"/>
              </w:rPr>
            </w:pPr>
            <w:r>
              <w:rPr>
                <w:rFonts w:eastAsia="Times New Roman" w:cs="Times New Roman" w:ascii="Times New Roman" w:hAnsi="Times New Roman"/>
                <w:sz w:val="24"/>
                <w:szCs w:val="24"/>
                <w:lang w:val="en-GB"/>
              </w:rPr>
              <w:t>https://research.hip.fi/qcdtheory/nuclear-pdfs/</w:t>
            </w:r>
          </w:p>
        </w:tc>
      </w:tr>
      <w:tr>
        <w:trPr>
          <w:trHeight w:val="340" w:hRule="atLeast"/>
          <w:cantSplit w:val="true"/>
        </w:trPr>
        <w:tc>
          <w:tcPr>
            <w:tcW w:w="13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D13.3</w:t>
            </w:r>
          </w:p>
        </w:tc>
        <w:tc>
          <w:tcPr>
            <w:tcW w:w="140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TMD factorization</w:t>
            </w:r>
          </w:p>
        </w:tc>
        <w:tc>
          <w:tcPr>
            <w:tcW w:w="13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37 - IFJ PAN</w:t>
            </w:r>
          </w:p>
        </w:tc>
        <w:tc>
          <w:tcPr>
            <w:tcW w:w="92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Report</w:t>
            </w:r>
          </w:p>
        </w:tc>
        <w:tc>
          <w:tcPr>
            <w:tcW w:w="16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PU</w:t>
            </w:r>
          </w:p>
        </w:tc>
        <w:tc>
          <w:tcPr>
            <w:tcW w:w="106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t>54</w:t>
            </w:r>
          </w:p>
        </w:tc>
        <w:tc>
          <w:tcPr>
            <w:tcW w:w="118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yes</w:t>
            </w:r>
          </w:p>
        </w:tc>
        <w:tc>
          <w:tcPr>
            <w:tcW w:w="102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57</w:t>
            </w:r>
          </w:p>
        </w:tc>
        <w:tc>
          <w:tcPr>
            <w:tcW w:w="40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both"/>
              <w:rPr>
                <w:rFonts w:ascii="Times New Roman" w:hAnsi="Times New Roman" w:eastAsia="Times New Roman" w:cs="Times New Roman"/>
                <w:sz w:val="24"/>
                <w:szCs w:val="24"/>
                <w:lang w:val="en-ES"/>
              </w:rPr>
            </w:pPr>
            <w:hyperlink r:id="rId4">
              <w:r>
                <w:rPr>
                  <w:rStyle w:val="InternetLink"/>
                  <w:rFonts w:eastAsia="Times New Roman" w:cs="Times New Roman" w:ascii="Times New Roman" w:hAnsi="Times New Roman"/>
                  <w:sz w:val="24"/>
                  <w:szCs w:val="24"/>
                  <w:lang w:val="en-GB"/>
                </w:rPr>
                <w:t>https://inspirehep.net/literature/2760756</w:t>
              </w:r>
            </w:hyperlink>
            <w:r>
              <w:rPr>
                <w:rFonts w:eastAsia="Times New Roman" w:cs="Times New Roman" w:ascii="Times New Roman" w:hAnsi="Times New Roman"/>
                <w:sz w:val="24"/>
                <w:szCs w:val="24"/>
                <w:lang w:val="en-GB"/>
              </w:rPr>
              <w:t xml:space="preserve">, </w:t>
            </w:r>
            <w:r>
              <w:rPr>
                <w:rFonts w:eastAsia="Times New Roman" w:cs="Times New Roman" w:ascii="Times New Roman" w:hAnsi="Times New Roman"/>
                <w:sz w:val="24"/>
                <w:szCs w:val="24"/>
              </w:rPr>
              <w:t>JHEP 06 (2024) 180</w:t>
            </w:r>
          </w:p>
        </w:tc>
      </w:tr>
    </w:tbl>
    <w:p>
      <w:pPr>
        <w:pStyle w:val="Normal"/>
        <w:rPr>
          <w:rFonts w:ascii="Times New Roman" w:hAnsi="Times New Roman" w:cs="Times New Roman"/>
          <w:i/>
          <w:i/>
          <w:lang w:val="en-US"/>
        </w:rPr>
      </w:pPr>
      <w:r>
        <w:rPr>
          <w:rFonts w:cs="Times New Roman" w:ascii="Times New Roman" w:hAnsi="Times New Roman"/>
          <w:i/>
          <w:lang w:val="en-US"/>
        </w:rPr>
        <w:t>In case a deliverable has been delivered in the reporting period and a report exists in the Participant Portal, you can indicate “uploaded report” in correspondence of a deliverable</w:t>
      </w:r>
    </w:p>
    <w:p>
      <w:pPr>
        <w:pStyle w:val="Normal"/>
        <w:rPr>
          <w:lang w:val="en-US"/>
        </w:rPr>
      </w:pPr>
      <w:r>
        <w:rPr>
          <w:lang w:val="en-US"/>
        </w:rPr>
      </w:r>
    </w:p>
    <w:p>
      <w:pPr>
        <w:pStyle w:val="Normal"/>
        <w:rPr>
          <w:lang w:val="en-US"/>
        </w:rPr>
      </w:pPr>
      <w:r>
        <w:rPr>
          <w:lang w:val="en-US"/>
        </w:rPr>
      </w:r>
      <w:r>
        <w:br w:type="page"/>
      </w:r>
    </w:p>
    <w:p>
      <w:pPr>
        <w:pStyle w:val="Normal"/>
        <w:keepNext w:val="true"/>
        <w:keepLines/>
        <w:numPr>
          <w:ilvl w:val="0"/>
          <w:numId w:val="0"/>
        </w:numPr>
        <w:spacing w:before="40" w:after="0"/>
        <w:outlineLvl w:val="1"/>
        <w:rPr>
          <w:rFonts w:ascii="Times New Roman" w:hAnsi="Times New Roman" w:eastAsia="" w:cs="" w:cstheme="majorBidi" w:eastAsiaTheme="majorEastAsia"/>
          <w:b/>
          <w:b/>
          <w:sz w:val="24"/>
          <w:szCs w:val="26"/>
          <w:lang w:val="en-US"/>
        </w:rPr>
      </w:pPr>
      <w:r>
        <w:rPr>
          <w:rFonts w:eastAsia="" w:cs="" w:ascii="Times New Roman" w:hAnsi="Times New Roman" w:cstheme="majorBidi" w:eastAsiaTheme="majorEastAsia"/>
          <w:b/>
          <w:sz w:val="24"/>
          <w:szCs w:val="26"/>
          <w:lang w:val="en-US"/>
        </w:rPr>
        <w:t xml:space="preserve">4.2 Milestones </w:t>
      </w:r>
    </w:p>
    <w:p>
      <w:pPr>
        <w:pStyle w:val="Normal"/>
        <w:spacing w:before="0" w:after="0"/>
        <w:jc w:val="both"/>
        <w:rPr>
          <w:rFonts w:ascii="Times New Roman" w:hAnsi="Times New Roman" w:cs="Times New Roman"/>
          <w:i/>
          <w:i/>
          <w:lang w:val="en-US"/>
        </w:rPr>
      </w:pPr>
      <w:r>
        <w:rPr>
          <w:rFonts w:cs="Times New Roman" w:ascii="Times New Roman" w:hAnsi="Times New Roman"/>
          <w:i/>
          <w:lang w:val="en-US"/>
        </w:rPr>
        <w:t>[Please complete the table if milestones are specified in Annex I.</w:t>
      </w:r>
    </w:p>
    <w:p>
      <w:pPr>
        <w:pStyle w:val="Normal"/>
        <w:jc w:val="both"/>
        <w:rPr>
          <w:rFonts w:ascii="Times New Roman" w:hAnsi="Times New Roman" w:cs="Times New Roman"/>
          <w:i/>
          <w:i/>
          <w:lang w:val="en-US"/>
        </w:rPr>
      </w:pPr>
      <w:r>
        <w:rPr>
          <w:rFonts w:cs="Times New Roman" w:ascii="Times New Roman" w:hAnsi="Times New Roman"/>
          <w:i/>
          <w:lang w:val="en-US"/>
        </w:rPr>
        <w:t>Milestones will be assessed against specific criteria and performance indicators as defined in Annex I.]</w:t>
      </w:r>
    </w:p>
    <w:p>
      <w:pPr>
        <w:pStyle w:val="Normal"/>
        <w:suppressLineNumbers/>
        <w:suppressAutoHyphens w:val="true"/>
        <w:overflowPunct w:val="true"/>
        <w:spacing w:lineRule="auto" w:line="240" w:before="120" w:after="120"/>
        <w:textAlignment w:val="baseline"/>
        <w:rPr>
          <w:rFonts w:ascii="Times New Roman" w:hAnsi="Times New Roman" w:eastAsia="Times New Roman" w:cs="Times New Roman"/>
          <w:b/>
          <w:b/>
          <w:i/>
          <w:i/>
          <w:sz w:val="24"/>
          <w:szCs w:val="20"/>
          <w:lang w:val="en-US"/>
        </w:rPr>
      </w:pPr>
      <w:r>
        <w:rPr>
          <w:rFonts w:eastAsia="Times New Roman" w:cs="Times New Roman" w:ascii="Times New Roman" w:hAnsi="Times New Roman"/>
          <w:b/>
          <w:i/>
          <w:sz w:val="24"/>
          <w:szCs w:val="20"/>
          <w:lang w:val="en-US"/>
        </w:rPr>
        <w:t>Table 4.2 List of milestones</w:t>
      </w:r>
    </w:p>
    <w:tbl>
      <w:tblPr>
        <w:tblW w:w="14029" w:type="dxa"/>
        <w:jc w:val="left"/>
        <w:tblInd w:w="0" w:type="dxa"/>
        <w:tblCellMar>
          <w:top w:w="0" w:type="dxa"/>
          <w:left w:w="108" w:type="dxa"/>
          <w:bottom w:w="0" w:type="dxa"/>
          <w:right w:w="108" w:type="dxa"/>
        </w:tblCellMar>
        <w:tblLook w:noVBand="1" w:val="04a0" w:noHBand="0" w:lastColumn="0" w:firstColumn="1" w:lastRow="0" w:firstRow="1"/>
      </w:tblPr>
      <w:tblGrid>
        <w:gridCol w:w="1216"/>
        <w:gridCol w:w="3468"/>
        <w:gridCol w:w="1539"/>
        <w:gridCol w:w="2059"/>
        <w:gridCol w:w="1203"/>
        <w:gridCol w:w="2237"/>
        <w:gridCol w:w="2306"/>
      </w:tblGrid>
      <w:tr>
        <w:trPr>
          <w:tblHeader w:val="true"/>
          <w:trHeight w:val="340" w:hRule="atLeast"/>
          <w:cantSplit w:val="true"/>
        </w:trPr>
        <w:tc>
          <w:tcPr>
            <w:tcW w:w="12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Milestone number</w:t>
            </w:r>
          </w:p>
        </w:tc>
        <w:tc>
          <w:tcPr>
            <w:tcW w:w="34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Milestone name</w:t>
            </w:r>
          </w:p>
        </w:tc>
        <w:tc>
          <w:tcPr>
            <w:tcW w:w="15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Lead beneficiary</w:t>
            </w:r>
          </w:p>
        </w:tc>
        <w:tc>
          <w:tcPr>
            <w:tcW w:w="20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Delivery month from Annex I</w:t>
            </w:r>
          </w:p>
        </w:tc>
        <w:tc>
          <w:tcPr>
            <w:tcW w:w="120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Delivered</w:t>
            </w:r>
          </w:p>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(yes/no)</w:t>
            </w:r>
          </w:p>
        </w:tc>
        <w:tc>
          <w:tcPr>
            <w:tcW w:w="22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Actual delivery month</w:t>
            </w:r>
          </w:p>
        </w:tc>
        <w:tc>
          <w:tcPr>
            <w:tcW w:w="2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b/>
                <w:b/>
                <w:sz w:val="24"/>
                <w:szCs w:val="24"/>
                <w:lang w:val="en-GB" w:eastAsia="en-GB"/>
              </w:rPr>
            </w:pPr>
            <w:r>
              <w:rPr>
                <w:rFonts w:eastAsia="Times New Roman" w:cs="Times New Roman" w:ascii="Times New Roman" w:hAnsi="Times New Roman"/>
                <w:b/>
                <w:sz w:val="24"/>
                <w:szCs w:val="24"/>
                <w:lang w:val="en-GB" w:eastAsia="en-GB"/>
              </w:rPr>
              <w:t>Comments</w:t>
            </w:r>
          </w:p>
        </w:tc>
      </w:tr>
      <w:tr>
        <w:trPr>
          <w:trHeight w:val="340" w:hRule="atLeast"/>
        </w:trPr>
        <w:tc>
          <w:tcPr>
            <w:tcW w:w="121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c>
        <w:tc>
          <w:tcPr>
            <w:tcW w:w="346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c>
        <w:tc>
          <w:tcPr>
            <w:tcW w:w="15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c>
        <w:tc>
          <w:tcPr>
            <w:tcW w:w="20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c>
        <w:tc>
          <w:tcPr>
            <w:tcW w:w="120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tc>
        <w:tc>
          <w:tcPr>
            <w:tcW w:w="22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tc>
        <w:tc>
          <w:tcPr>
            <w:tcW w:w="230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ascii="Times New Roman" w:hAnsi="Times New Roman" w:eastAsia="Times New Roman" w:cs="Times New Roman"/>
                <w:sz w:val="24"/>
                <w:szCs w:val="24"/>
                <w:lang w:val="en-GB" w:eastAsia="en-GB"/>
              </w:rPr>
            </w:pPr>
            <w:r>
              <w:rPr>
                <w:rFonts w:eastAsia="Times New Roman" w:cs="Times New Roman" w:ascii="Times New Roman" w:hAnsi="Times New Roman"/>
                <w:sz w:val="24"/>
                <w:szCs w:val="24"/>
                <w:lang w:val="en-GB" w:eastAsia="en-GB"/>
              </w:rPr>
            </w:r>
          </w:p>
        </w:tc>
      </w:tr>
    </w:tbl>
    <w:p>
      <w:pPr>
        <w:pStyle w:val="Normal"/>
        <w:tabs>
          <w:tab w:val="clear" w:pos="708"/>
          <w:tab w:val="left" w:pos="1890" w:leader="none"/>
        </w:tabs>
        <w:rPr>
          <w:rFonts w:ascii="Times New Roman" w:hAnsi="Times New Roman" w:cs="Times New Roman"/>
        </w:rPr>
      </w:pPr>
      <w:r>
        <w:rPr>
          <w:rFonts w:cs="Times New Roman" w:ascii="Times New Roman" w:hAnsi="Times New Roman"/>
        </w:rPr>
      </w:r>
    </w:p>
    <w:p>
      <w:pPr>
        <w:pStyle w:val="Normal"/>
        <w:tabs>
          <w:tab w:val="clear" w:pos="708"/>
          <w:tab w:val="left" w:pos="1890" w:leader="none"/>
        </w:tabs>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b/>
          <w:b/>
          <w:sz w:val="24"/>
          <w:lang w:val="en-US"/>
        </w:rPr>
      </w:pPr>
      <w:r>
        <w:rPr>
          <w:rFonts w:cs="Times New Roman" w:ascii="Times New Roman" w:hAnsi="Times New Roman"/>
          <w:b/>
          <w:sz w:val="24"/>
          <w:lang w:val="en-US"/>
        </w:rPr>
        <w:t>No Milestones in the RP3 (months 37-62).</w:t>
      </w:r>
    </w:p>
    <w:p>
      <w:pPr>
        <w:pStyle w:val="Normal"/>
        <w:tabs>
          <w:tab w:val="clear" w:pos="708"/>
          <w:tab w:val="left" w:pos="1890" w:leader="none"/>
        </w:tabs>
        <w:rPr>
          <w:rFonts w:ascii="Times New Roman" w:hAnsi="Times New Roman" w:cs="Times New Roman"/>
          <w:lang w:val="en-US"/>
        </w:rPr>
      </w:pPr>
      <w:r>
        <w:rPr>
          <w:rFonts w:cs="Times New Roman" w:ascii="Times New Roman" w:hAnsi="Times New Roman"/>
          <w:lang w:val="en-US"/>
        </w:rPr>
      </w:r>
    </w:p>
    <w:p>
      <w:pPr>
        <w:pStyle w:val="Normal"/>
        <w:tabs>
          <w:tab w:val="clear" w:pos="708"/>
          <w:tab w:val="left" w:pos="1890" w:leader="none"/>
        </w:tabs>
        <w:rPr>
          <w:rFonts w:ascii="Times New Roman" w:hAnsi="Times New Roman" w:cs="Times New Roman"/>
          <w:lang w:val="en-US"/>
        </w:rPr>
      </w:pPr>
      <w:r>
        <w:rPr>
          <w:rFonts w:cs="Times New Roman" w:ascii="Times New Roman" w:hAnsi="Times New Roman"/>
          <w:lang w:val="en-US"/>
        </w:rPr>
      </w:r>
    </w:p>
    <w:p>
      <w:pPr>
        <w:pStyle w:val="Normal"/>
        <w:tabs>
          <w:tab w:val="clear" w:pos="708"/>
          <w:tab w:val="left" w:pos="1890" w:leader="none"/>
        </w:tabs>
        <w:rPr>
          <w:rFonts w:ascii="Times New Roman" w:hAnsi="Times New Roman" w:cs="Times New Roman"/>
          <w:b/>
          <w:b/>
          <w:sz w:val="24"/>
          <w:lang w:val="en-US"/>
        </w:rPr>
      </w:pPr>
      <w:r>
        <w:rPr>
          <w:rFonts w:cs="Times New Roman" w:ascii="Times New Roman" w:hAnsi="Times New Roman"/>
          <w:b/>
          <w:sz w:val="24"/>
          <w:lang w:val="en-US"/>
        </w:rPr>
      </w:r>
    </w:p>
    <w:p>
      <w:pPr>
        <w:pStyle w:val="Normal"/>
        <w:tabs>
          <w:tab w:val="clear" w:pos="708"/>
          <w:tab w:val="left" w:pos="1890" w:leader="none"/>
        </w:tabs>
        <w:rPr>
          <w:rFonts w:ascii="Times New Roman" w:hAnsi="Times New Roman" w:cs="Times New Roman"/>
          <w:b/>
          <w:b/>
          <w:sz w:val="24"/>
          <w:lang w:val="en-US"/>
        </w:rPr>
      </w:pPr>
      <w:r>
        <w:rPr>
          <w:rFonts w:cs="Times New Roman" w:ascii="Times New Roman" w:hAnsi="Times New Roman"/>
          <w:b/>
          <w:sz w:val="24"/>
          <w:lang w:val="en-US"/>
        </w:rPr>
      </w:r>
    </w:p>
    <w:p>
      <w:pPr>
        <w:pStyle w:val="Normal"/>
        <w:tabs>
          <w:tab w:val="clear" w:pos="708"/>
          <w:tab w:val="left" w:pos="1890" w:leader="none"/>
        </w:tabs>
        <w:rPr>
          <w:rFonts w:ascii="Times New Roman" w:hAnsi="Times New Roman" w:cs="Times New Roman"/>
          <w:b/>
          <w:b/>
          <w:sz w:val="24"/>
          <w:lang w:val="en-US"/>
        </w:rPr>
      </w:pPr>
      <w:r>
        <w:rPr>
          <w:rFonts w:cs="Times New Roman" w:ascii="Times New Roman" w:hAnsi="Times New Roman"/>
          <w:b/>
          <w:sz w:val="24"/>
          <w:lang w:val="en-US"/>
        </w:rPr>
      </w:r>
    </w:p>
    <w:p>
      <w:pPr>
        <w:pStyle w:val="Normal"/>
        <w:tabs>
          <w:tab w:val="clear" w:pos="708"/>
          <w:tab w:val="left" w:pos="1890" w:leader="none"/>
        </w:tabs>
        <w:rPr>
          <w:rFonts w:ascii="Times New Roman" w:hAnsi="Times New Roman" w:cs="Times New Roman"/>
          <w:b/>
          <w:b/>
          <w:sz w:val="24"/>
          <w:lang w:val="en-US"/>
        </w:rPr>
      </w:pPr>
      <w:r>
        <w:rPr>
          <w:rFonts w:cs="Times New Roman" w:ascii="Times New Roman" w:hAnsi="Times New Roman"/>
          <w:b/>
          <w:sz w:val="24"/>
          <w:lang w:val="en-US"/>
        </w:rPr>
      </w:r>
    </w:p>
    <w:p>
      <w:pPr>
        <w:sectPr>
          <w:footnotePr>
            <w:numFmt w:val="decimal"/>
          </w:footnotePr>
          <w:type w:val="nextPage"/>
          <w:pgSz w:orient="landscape" w:w="16838" w:h="11906"/>
          <w:pgMar w:left="1417" w:right="1417" w:header="0" w:top="1417" w:footer="0" w:bottom="1417" w:gutter="0"/>
          <w:pgNumType w:fmt="decimal"/>
          <w:formProt w:val="false"/>
          <w:textDirection w:val="lrTb"/>
          <w:docGrid w:type="default" w:linePitch="360" w:charSpace="4096"/>
        </w:sectPr>
        <w:pStyle w:val="Normal"/>
        <w:tabs>
          <w:tab w:val="clear" w:pos="708"/>
          <w:tab w:val="left" w:pos="1890" w:leader="none"/>
        </w:tabs>
        <w:rPr>
          <w:rFonts w:ascii="Times New Roman" w:hAnsi="Times New Roman" w:cs="Times New Roman"/>
          <w:b/>
          <w:b/>
          <w:sz w:val="24"/>
          <w:lang w:val="en-US"/>
        </w:rPr>
      </w:pPr>
      <w:r>
        <w:rPr>
          <w:rFonts w:cs="Times New Roman" w:ascii="Times New Roman" w:hAnsi="Times New Roman"/>
          <w:b/>
          <w:sz w:val="24"/>
          <w:lang w:val="en-US"/>
        </w:rPr>
      </w:r>
    </w:p>
    <w:p>
      <w:pPr>
        <w:pStyle w:val="Normal"/>
        <w:keepNext w:val="true"/>
        <w:keepLines/>
        <w:numPr>
          <w:ilvl w:val="0"/>
          <w:numId w:val="0"/>
        </w:numPr>
        <w:spacing w:before="40" w:after="0"/>
        <w:outlineLvl w:val="1"/>
        <w:rPr>
          <w:rFonts w:ascii="Times New Roman" w:hAnsi="Times New Roman" w:eastAsia="" w:cs="" w:cstheme="majorBidi" w:eastAsiaTheme="majorEastAsia"/>
          <w:b/>
          <w:b/>
          <w:sz w:val="24"/>
          <w:szCs w:val="26"/>
          <w:lang w:val="en-US"/>
        </w:rPr>
      </w:pPr>
      <w:r>
        <w:rPr>
          <w:rFonts w:eastAsia="" w:cs="" w:ascii="Times New Roman" w:hAnsi="Times New Roman" w:cstheme="majorBidi" w:eastAsiaTheme="majorEastAsia"/>
          <w:b/>
          <w:sz w:val="24"/>
          <w:szCs w:val="26"/>
          <w:lang w:val="en-US"/>
        </w:rPr>
        <w:t>4.3</w:t>
        <w:tab/>
        <w:t>Deliverable Reports</w:t>
      </w:r>
    </w:p>
    <w:p>
      <w:pPr>
        <w:pStyle w:val="Normal"/>
        <w:jc w:val="both"/>
        <w:rPr>
          <w:rFonts w:ascii="Times New Roman" w:hAnsi="Times New Roman" w:cs="Times New Roman"/>
          <w:i/>
          <w:i/>
          <w:lang w:val="en-US"/>
        </w:rPr>
      </w:pPr>
      <w:r>
        <w:rPr>
          <w:rFonts w:cs="Times New Roman" w:ascii="Times New Roman" w:hAnsi="Times New Roman"/>
          <w:i/>
          <w:lang w:val="en-US"/>
        </w:rPr>
        <w:t>[Please provide, per each deliverable listed in Table 4.1, a brief description, including if possible some technical documentation (photos, list of publications, etc.). Use as many pages as needed per each report.]</w:t>
      </w:r>
    </w:p>
    <w:p>
      <w:pPr>
        <w:pStyle w:val="Normal"/>
        <w:tabs>
          <w:tab w:val="clear" w:pos="708"/>
          <w:tab w:val="left" w:pos="1890" w:leader="none"/>
        </w:tabs>
        <w:rPr>
          <w:rFonts w:ascii="Times New Roman" w:hAnsi="Times New Roman" w:cs="Times New Roman"/>
          <w:lang w:val="en-US"/>
        </w:rPr>
      </w:pPr>
      <w:r>
        <w:rPr>
          <w:rFonts w:cs="Times New Roman" w:ascii="Times New Roman" w:hAnsi="Times New Roman"/>
          <w:lang w:val="en-US"/>
        </w:rPr>
      </w:r>
    </w:p>
    <w:p>
      <w:pPr>
        <w:pStyle w:val="Normal"/>
        <w:tabs>
          <w:tab w:val="clear" w:pos="708"/>
          <w:tab w:val="left" w:pos="1890" w:leader="none"/>
        </w:tabs>
        <w:rPr>
          <w:rFonts w:ascii="Times New Roman" w:hAnsi="Times New Roman" w:cs="Times New Roman"/>
          <w:lang w:val="en-GB"/>
        </w:rPr>
      </w:pPr>
      <w:r>
        <w:rPr>
          <w:rFonts w:cs="Times New Roman" w:ascii="Times New Roman" w:hAnsi="Times New Roman"/>
          <w:lang w:val="en-US"/>
        </w:rPr>
        <w:t xml:space="preserve">Deliverable 13.1 is a new set of nuclear parton densities, EPPS21, which, for the first time, includes in the fit data from pPb collisions at the LHC Run 2 and considers the uncertainties in the proton baseline. The set is made publicly available in the web page </w:t>
      </w:r>
      <w:hyperlink r:id="rId5">
        <w:r>
          <w:rPr>
            <w:rStyle w:val="InternetLink"/>
            <w:rFonts w:cs="Times New Roman" w:ascii="Times New Roman" w:hAnsi="Times New Roman"/>
            <w:lang w:val="en-US"/>
          </w:rPr>
          <w:t>https://research.hip.fi/qcdtheory/nuclear-pdfs/</w:t>
        </w:r>
      </w:hyperlink>
      <w:r>
        <w:rPr>
          <w:rFonts w:cs="Times New Roman" w:ascii="Times New Roman" w:hAnsi="Times New Roman"/>
          <w:lang w:val="en-US"/>
        </w:rPr>
        <w:t xml:space="preserve">, and also in the LHAPDF tool (the standard in high-energy physics). This set constitutes a new </w:t>
      </w:r>
      <w:r>
        <w:rPr>
          <w:rFonts w:cs="Times New Roman" w:ascii="Times New Roman" w:hAnsi="Times New Roman"/>
          <w:lang w:val="en-GB"/>
        </w:rPr>
        <w:t>benchmark</w:t>
      </w:r>
      <w:r>
        <w:rPr>
          <w:rFonts w:cs="Times New Roman" w:ascii="Times New Roman" w:hAnsi="Times New Roman"/>
          <w:lang w:val="en-US"/>
        </w:rPr>
        <w:t xml:space="preserve"> to which all other sets are compared, and the description of the work was contained in publication </w:t>
      </w:r>
      <w:r>
        <w:rPr>
          <w:rFonts w:cs="Times New Roman" w:ascii="Times New Roman" w:hAnsi="Times New Roman"/>
          <w:i/>
          <w:iCs/>
          <w:lang w:val="en-GB"/>
        </w:rPr>
        <w:t>Nuclear PDFs with new LHC Run 2 data plus proton baseline uncertainties</w:t>
      </w:r>
      <w:r>
        <w:rPr>
          <w:rFonts w:cs="Times New Roman" w:ascii="Times New Roman" w:hAnsi="Times New Roman"/>
          <w:lang w:val="en-GB"/>
        </w:rPr>
        <w:t>, Eur. Phys. J. C 82 (2022) 5, 413, K. J. Eskola, P. Paakkinen, H. Paukkunen, C. A. Salgado (JYV-USC); it has already achieved 114 citations in the INSPIRE database.</w:t>
      </w:r>
    </w:p>
    <w:p>
      <w:pPr>
        <w:pStyle w:val="Normal"/>
        <w:tabs>
          <w:tab w:val="clear" w:pos="708"/>
          <w:tab w:val="left" w:pos="1890" w:leader="none"/>
        </w:tabs>
        <w:rPr>
          <w:rFonts w:ascii="Times New Roman" w:hAnsi="Times New Roman" w:cs="Times New Roman"/>
          <w:lang w:val="en-GB"/>
        </w:rPr>
      </w:pPr>
      <w:r>
        <w:rPr>
          <w:rFonts w:cs="Times New Roman" w:ascii="Times New Roman" w:hAnsi="Times New Roman"/>
          <w:lang w:val="en-GB"/>
        </w:rPr>
      </w:r>
    </w:p>
    <w:p>
      <w:pPr>
        <w:pStyle w:val="Normal"/>
        <w:rPr>
          <w:rFonts w:ascii="Times New Roman" w:hAnsi="Times New Roman" w:cs="Times New Roman"/>
          <w:lang w:val="en-GB"/>
        </w:rPr>
      </w:pPr>
      <w:r>
        <w:rPr>
          <w:rFonts w:cs="Times New Roman" w:ascii="Times New Roman" w:hAnsi="Times New Roman"/>
          <w:lang w:val="en-GB"/>
        </w:rPr>
        <w:t xml:space="preserve">Deliverable 13.3 is the derivation of </w:t>
      </w:r>
      <w:r>
        <w:rPr>
          <w:rFonts w:cs="Times New Roman" w:ascii="Times New Roman" w:hAnsi="Times New Roman"/>
          <w:lang w:val="en-ES"/>
        </w:rPr>
        <w:t xml:space="preserve">TMD factorization at next-to-leading order in dijet photoproduction of nuclei, as shown in publication </w:t>
      </w:r>
      <w:r>
        <w:rPr>
          <w:rFonts w:cs="Times New Roman" w:ascii="Times New Roman" w:hAnsi="Times New Roman"/>
          <w:i/>
          <w:iCs/>
          <w:highlight w:val="white"/>
          <w:lang w:val="en-GB"/>
        </w:rPr>
        <w:t>TMD factorisation for diffractive jets in photon-nucleus interactions</w:t>
      </w:r>
      <w:r>
        <w:rPr>
          <w:rFonts w:cs="Times New Roman" w:ascii="Times New Roman" w:hAnsi="Times New Roman"/>
          <w:lang w:val="en-GB"/>
        </w:rPr>
        <w:t xml:space="preserve">, </w:t>
      </w:r>
      <w:r>
        <w:rPr>
          <w:rFonts w:cs="Times New Roman" w:ascii="Times New Roman" w:hAnsi="Times New Roman"/>
          <w:lang w:val="en-ES"/>
        </w:rPr>
        <w:t xml:space="preserve">JHEP 06 (2024) 180, </w:t>
      </w:r>
      <w:r>
        <w:rPr>
          <w:rFonts w:cs="Times New Roman" w:ascii="Times New Roman" w:hAnsi="Times New Roman"/>
          <w:lang w:val="en-GB"/>
        </w:rPr>
        <w:t xml:space="preserve">S. Hauksson, E. Iancu (CEA), A. H. Mueller, D. N. Triantafyllopoulos (ECT*), S. Y. Wei. Establishing such factorisation complements in a different system the efforts in inclusive DIS to clarify the different divergencies and the corresponding evolutions, finding a strong interplay between small-x and standard TMD evolution. By itself it is a most important result and means the culmination of many works at next-to-leading order of the same group and others within WP13, like </w:t>
      </w:r>
      <w:r>
        <w:rPr>
          <w:rFonts w:cs="Times New Roman" w:ascii="Times New Roman" w:hAnsi="Times New Roman"/>
        </w:rPr>
        <w:t>JHEP 10 (2022) 184, e-Print: 2406.08277 [hep-ph], Phys. Rev. Lett. 128 (2022) 20, 202001, JHEP 10 (2022) 103, Eur. Phys. J. C 83 (2023) 11, 1078 and e-Print: 2406.04238 [hep-ph], and multitude of previous works not including next-to-leading virtual corrections.</w:t>
      </w:r>
    </w:p>
    <w:p>
      <w:pPr>
        <w:pStyle w:val="Normal"/>
        <w:tabs>
          <w:tab w:val="clear" w:pos="708"/>
          <w:tab w:val="left" w:pos="1890" w:leader="none"/>
        </w:tabs>
        <w:spacing w:before="0" w:after="160"/>
        <w:rPr>
          <w:rFonts w:ascii="Times New Roman" w:hAnsi="Times New Roman" w:cs="Times New Roman"/>
          <w:lang w:val="en-US"/>
        </w:rPr>
      </w:pPr>
      <w:r>
        <w:rPr/>
      </w:r>
    </w:p>
    <w:sectPr>
      <w:footnotePr>
        <w:numFmt w:val="decimal"/>
      </w:footnote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swiss"/>
    <w:pitch w:val="variable"/>
  </w:font>
  <w:font w:name="Times New Roman">
    <w:charset w:val="01"/>
    <w:family w:val="auto"/>
    <w:pitch w:val="default"/>
  </w:font>
  <w:font w:name="Courier New">
    <w:charset w:val="01"/>
    <w:family w:val="auto"/>
    <w:pitch w:val="default"/>
  </w:font>
  <w:font w:name="Wingdings">
    <w:charset w:val="02"/>
    <w:family w:val="auto"/>
    <w:pitch w:val="default"/>
  </w:font>
  <w:font w:name="Symbol">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rPr>
          <w:rFonts w:ascii="Times New Roman" w:hAnsi="Times New Roman" w:cs="Times New Roman"/>
          <w:lang w:val="en-US"/>
        </w:rPr>
      </w:pPr>
      <w:r>
        <w:rPr>
          <w:rStyle w:val="FootnoteCharacters"/>
        </w:rPr>
        <w:footnoteRef/>
      </w:r>
      <w:r>
        <w:rPr>
          <w:rFonts w:cs="Times New Roman" w:ascii="Times New Roman" w:hAnsi="Times New Roman"/>
          <w:lang w:val="en-US"/>
        </w:rPr>
        <w:t xml:space="preserve"> </w:t>
      </w:r>
      <w:r>
        <w:rPr>
          <w:rFonts w:cs="Times New Roman" w:ascii="Times New Roman" w:hAnsi="Times New Roman"/>
          <w:lang w:val="en-US"/>
        </w:rPr>
        <w:t>PU = Public</w:t>
      </w:r>
    </w:p>
    <w:p>
      <w:pPr>
        <w:pStyle w:val="Footnote"/>
        <w:rPr>
          <w:rFonts w:ascii="Times New Roman" w:hAnsi="Times New Roman" w:cs="Times New Roman"/>
          <w:lang w:val="en-US"/>
        </w:rPr>
      </w:pPr>
      <w:r>
        <w:rPr>
          <w:rFonts w:cs="Times New Roman" w:ascii="Times New Roman" w:hAnsi="Times New Roman"/>
          <w:lang w:val="en-US"/>
        </w:rPr>
        <w:t>PP = Restricted to other programme participants (including the Commission Services).</w:t>
      </w:r>
    </w:p>
    <w:p>
      <w:pPr>
        <w:pStyle w:val="Footnote"/>
        <w:rPr>
          <w:rFonts w:ascii="Times New Roman" w:hAnsi="Times New Roman" w:cs="Times New Roman"/>
          <w:lang w:val="en-US"/>
        </w:rPr>
      </w:pPr>
      <w:r>
        <w:rPr>
          <w:rFonts w:cs="Times New Roman" w:ascii="Times New Roman" w:hAnsi="Times New Roman"/>
          <w:lang w:val="en-US"/>
        </w:rPr>
        <w:t>RE = Restricted to a group specified by the consortium (including the Commission Services).</w:t>
      </w:r>
    </w:p>
    <w:p>
      <w:pPr>
        <w:pStyle w:val="Footnote"/>
        <w:rPr>
          <w:rFonts w:ascii="Times New Roman" w:hAnsi="Times New Roman" w:cs="Times New Roman"/>
          <w:lang w:val="en-US"/>
        </w:rPr>
      </w:pPr>
      <w:r>
        <w:rPr>
          <w:rFonts w:cs="Times New Roman" w:ascii="Times New Roman" w:hAnsi="Times New Roman"/>
          <w:lang w:val="en-US"/>
        </w:rPr>
        <w:t>CO = Confidential, only for members of the consortium (including the Commission Services).</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2345"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val="bestFit" w:percent="123"/>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7653e"/>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1">
    <w:name w:val="Heading 1"/>
    <w:basedOn w:val="Normal"/>
    <w:next w:val="Normal"/>
    <w:link w:val="Heading1Char"/>
    <w:uiPriority w:val="9"/>
    <w:qFormat/>
    <w:rsid w:val="00974001"/>
    <w:pPr>
      <w:keepNext w:val="true"/>
      <w:keepLines/>
      <w:spacing w:before="240" w:after="0"/>
      <w:outlineLvl w:val="0"/>
    </w:pPr>
    <w:rPr>
      <w:rFonts w:ascii="Times New Roman" w:hAnsi="Times New Roman" w:eastAsia="" w:cs="" w:cstheme="majorBidi" w:eastAsiaTheme="majorEastAsia"/>
      <w:color w:val="0070C0"/>
      <w:sz w:val="28"/>
      <w:szCs w:val="32"/>
    </w:rPr>
  </w:style>
  <w:style w:type="paragraph" w:styleId="Heading2">
    <w:name w:val="Heading 2"/>
    <w:basedOn w:val="Normal"/>
    <w:next w:val="Normal"/>
    <w:link w:val="Heading2Char"/>
    <w:uiPriority w:val="9"/>
    <w:unhideWhenUsed/>
    <w:qFormat/>
    <w:rsid w:val="00974001"/>
    <w:pPr>
      <w:keepNext w:val="true"/>
      <w:keepLines/>
      <w:spacing w:before="40" w:after="0"/>
      <w:outlineLvl w:val="1"/>
    </w:pPr>
    <w:rPr>
      <w:rFonts w:ascii="Times New Roman" w:hAnsi="Times New Roman" w:eastAsia="" w:cs="" w:cstheme="majorBidi" w:eastAsiaTheme="majorEastAsia"/>
      <w:sz w:val="24"/>
      <w:szCs w:val="26"/>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974001"/>
    <w:rPr>
      <w:rFonts w:ascii="Times New Roman" w:hAnsi="Times New Roman" w:eastAsia="" w:cs="" w:cstheme="majorBidi" w:eastAsiaTheme="majorEastAsia"/>
      <w:color w:val="0070C0"/>
      <w:sz w:val="28"/>
      <w:szCs w:val="32"/>
    </w:rPr>
  </w:style>
  <w:style w:type="character" w:styleId="Heading2Char" w:customStyle="1">
    <w:name w:val="Heading 2 Char"/>
    <w:basedOn w:val="DefaultParagraphFont"/>
    <w:link w:val="Heading2"/>
    <w:uiPriority w:val="9"/>
    <w:qFormat/>
    <w:rsid w:val="00974001"/>
    <w:rPr>
      <w:rFonts w:ascii="Times New Roman" w:hAnsi="Times New Roman" w:eastAsia="" w:cs="" w:cstheme="majorBidi" w:eastAsiaTheme="majorEastAsia"/>
      <w:sz w:val="24"/>
      <w:szCs w:val="26"/>
    </w:rPr>
  </w:style>
  <w:style w:type="character" w:styleId="FootnoteTextChar" w:customStyle="1">
    <w:name w:val="Footnote Text Char"/>
    <w:basedOn w:val="DefaultParagraphFont"/>
    <w:link w:val="FootnoteText"/>
    <w:uiPriority w:val="99"/>
    <w:semiHidden/>
    <w:qFormat/>
    <w:rsid w:val="00ac2a11"/>
    <w:rPr>
      <w:sz w:val="20"/>
      <w:szCs w:val="20"/>
    </w:rPr>
  </w:style>
  <w:style w:type="character" w:styleId="FootnoteCharacters">
    <w:name w:val="Footnote Characters"/>
    <w:basedOn w:val="DefaultParagraphFont"/>
    <w:uiPriority w:val="99"/>
    <w:semiHidden/>
    <w:unhideWhenUsed/>
    <w:qFormat/>
    <w:rsid w:val="00ac2a11"/>
    <w:rPr>
      <w:vertAlign w:val="superscript"/>
    </w:rPr>
  </w:style>
  <w:style w:type="character" w:styleId="FootnoteAnchor">
    <w:name w:val="Footnote Anchor"/>
    <w:rPr>
      <w:vertAlign w:val="superscript"/>
    </w:rPr>
  </w:style>
  <w:style w:type="character" w:styleId="BalloonTextChar" w:customStyle="1">
    <w:name w:val="Balloon Text Char"/>
    <w:basedOn w:val="DefaultParagraphFont"/>
    <w:link w:val="BalloonText"/>
    <w:uiPriority w:val="99"/>
    <w:semiHidden/>
    <w:qFormat/>
    <w:rsid w:val="00a644d2"/>
    <w:rPr>
      <w:rFonts w:ascii="Segoe UI" w:hAnsi="Segoe UI" w:cs="Segoe UI"/>
      <w:sz w:val="18"/>
      <w:szCs w:val="18"/>
    </w:rPr>
  </w:style>
  <w:style w:type="character" w:styleId="InternetLink">
    <w:name w:val="Hyperlink"/>
    <w:basedOn w:val="DefaultParagraphFont"/>
    <w:uiPriority w:val="99"/>
    <w:unhideWhenUsed/>
    <w:rsid w:val="005853c3"/>
    <w:rPr>
      <w:color w:val="0563C1" w:themeColor="hyperlink"/>
      <w:u w:val="single"/>
    </w:rPr>
  </w:style>
  <w:style w:type="character" w:styleId="UnresolvedMention">
    <w:name w:val="Unresolved Mention"/>
    <w:basedOn w:val="DefaultParagraphFont"/>
    <w:uiPriority w:val="99"/>
    <w:semiHidden/>
    <w:unhideWhenUsed/>
    <w:qFormat/>
    <w:rsid w:val="005853c3"/>
    <w:rPr>
      <w:color w:val="605E5C"/>
      <w:shd w:fill="E1DFDD" w:val="clear"/>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Droid Sans Fallback" w:cs="Droid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Index">
    <w:name w:val="Index"/>
    <w:basedOn w:val="Normal"/>
    <w:qFormat/>
    <w:pPr>
      <w:suppressLineNumbers/>
    </w:pPr>
    <w:rPr>
      <w:rFonts w:cs="Droid Sans Devanagari"/>
    </w:rPr>
  </w:style>
  <w:style w:type="paragraph" w:styleId="ListParagraph">
    <w:name w:val="List Paragraph"/>
    <w:basedOn w:val="Normal"/>
    <w:uiPriority w:val="34"/>
    <w:qFormat/>
    <w:rsid w:val="00ac509a"/>
    <w:pPr>
      <w:spacing w:before="0" w:after="160"/>
      <w:ind w:left="720" w:hanging="0"/>
      <w:contextualSpacing/>
    </w:pPr>
    <w:rPr/>
  </w:style>
  <w:style w:type="paragraph" w:styleId="Footnote">
    <w:name w:val="Footnote Text"/>
    <w:basedOn w:val="Normal"/>
    <w:link w:val="FootnoteTextChar"/>
    <w:uiPriority w:val="99"/>
    <w:semiHidden/>
    <w:unhideWhenUsed/>
    <w:rsid w:val="00ac2a11"/>
    <w:pPr>
      <w:spacing w:lineRule="auto" w:line="240" w:before="0" w:after="0"/>
    </w:pPr>
    <w:rPr>
      <w:sz w:val="20"/>
      <w:szCs w:val="20"/>
    </w:rPr>
  </w:style>
  <w:style w:type="paragraph" w:styleId="Caption1">
    <w:name w:val="caption"/>
    <w:basedOn w:val="Normal"/>
    <w:uiPriority w:val="35"/>
    <w:qFormat/>
    <w:rsid w:val="00000ac0"/>
    <w:pPr>
      <w:suppressLineNumbers/>
      <w:suppressAutoHyphens w:val="true"/>
      <w:overflowPunct w:val="true"/>
      <w:spacing w:lineRule="auto" w:line="240" w:before="0" w:after="0"/>
      <w:jc w:val="center"/>
      <w:textAlignment w:val="baseline"/>
    </w:pPr>
    <w:rPr>
      <w:rFonts w:ascii="Times New Roman" w:hAnsi="Times New Roman" w:eastAsia="Times New Roman" w:cs="Times New Roman"/>
      <w:i/>
      <w:sz w:val="24"/>
      <w:szCs w:val="20"/>
      <w:lang w:val="en-US"/>
    </w:rPr>
  </w:style>
  <w:style w:type="paragraph" w:styleId="Default" w:customStyle="1">
    <w:name w:val="Default"/>
    <w:qFormat/>
    <w:rsid w:val="00533351"/>
    <w:pPr>
      <w:widowControl/>
      <w:bidi w:val="0"/>
      <w:spacing w:lineRule="auto" w:line="240" w:before="0" w:after="0"/>
      <w:jc w:val="left"/>
    </w:pPr>
    <w:rPr>
      <w:rFonts w:ascii="Times New Roman" w:hAnsi="Times New Roman" w:cs="Times New Roman" w:eastAsia="Calibri"/>
      <w:color w:val="000000"/>
      <w:kern w:val="0"/>
      <w:sz w:val="24"/>
      <w:szCs w:val="24"/>
      <w:lang w:val="fr-FR" w:eastAsia="en-US" w:bidi="ar-SA"/>
    </w:rPr>
  </w:style>
  <w:style w:type="paragraph" w:styleId="BalloonText">
    <w:name w:val="Balloon Text"/>
    <w:basedOn w:val="Normal"/>
    <w:link w:val="BalloonTextChar"/>
    <w:uiPriority w:val="99"/>
    <w:semiHidden/>
    <w:unhideWhenUsed/>
    <w:qFormat/>
    <w:rsid w:val="00a644d2"/>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660c9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ectstar.eu/workshops/color-glass-condensate-at-the-electron-ion-collider/" TargetMode="External"/><Relationship Id="rId3" Type="http://schemas.openxmlformats.org/officeDocument/2006/relationships/hyperlink" Target="https://www.ectstar.eu/workshops/diffraction-and-gluon-saturation-at-the-lhc-and-the-eic/" TargetMode="External"/><Relationship Id="rId4" Type="http://schemas.openxmlformats.org/officeDocument/2006/relationships/hyperlink" Target="https://inspirehep.net/literature/2760756" TargetMode="External"/><Relationship Id="rId5" Type="http://schemas.openxmlformats.org/officeDocument/2006/relationships/hyperlink" Target="https://research.hip.fi/qcdtheory/nuclear-pdfs/" TargetMode="Externa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DD033-7A8B-4446-9A88-AA6F1C7CA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Application>LibreOffice/6.4.7.2$Linux_X86_64 LibreOffice_project/40$Build-2</Application>
  <Pages>9</Pages>
  <Words>2446</Words>
  <Characters>13619</Characters>
  <CharactersWithSpaces>15934</CharactersWithSpaces>
  <Paragraphs>123</Paragraphs>
  <Company>SUBATECH</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2024-07-10T12:18:00Z</dcterms:created>
  <dc:creator>Emine AMETSHAEVA</dc:creator>
  <dc:description/>
  <dc:language>fi-FI</dc:language>
  <cp:lastModifiedBy/>
  <cp:lastPrinted>2020-06-24T15:55:00Z</cp:lastPrinted>
  <dcterms:modified xsi:type="dcterms:W3CDTF">2024-09-13T11:52:25Z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SUBATECH</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