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0CE2" w:rsidRDefault="00700CE2" w:rsidP="00700CE2">
      <w:pPr>
        <w:rPr>
          <w:b/>
          <w:lang w:val="en-US"/>
        </w:rPr>
      </w:pPr>
      <w:r w:rsidRPr="00700CE2">
        <w:rPr>
          <w:b/>
          <w:lang w:val="en-US"/>
        </w:rPr>
        <w:t xml:space="preserve">Template </w:t>
      </w:r>
      <w:r w:rsidR="009E685A">
        <w:rPr>
          <w:b/>
          <w:lang w:val="en-US"/>
        </w:rPr>
        <w:t>V</w:t>
      </w:r>
      <w:r>
        <w:rPr>
          <w:b/>
          <w:lang w:val="en-US"/>
        </w:rPr>
        <w:t>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920DE9" w:rsidRPr="008349E9" w:rsidTr="00B624D6">
        <w:trPr>
          <w:trHeight w:val="340"/>
          <w:jc w:val="center"/>
        </w:trPr>
        <w:tc>
          <w:tcPr>
            <w:tcW w:w="1352" w:type="pct"/>
            <w:vAlign w:val="center"/>
          </w:tcPr>
          <w:p w:rsidR="00920DE9" w:rsidRPr="008349E9" w:rsidRDefault="00920DE9" w:rsidP="00B624D6">
            <w:pPr>
              <w:rPr>
                <w:b/>
                <w:lang w:val="en-GB"/>
              </w:rPr>
            </w:pPr>
            <w:r w:rsidRPr="008349E9">
              <w:rPr>
                <w:b/>
                <w:lang w:val="en-GB"/>
              </w:rPr>
              <w:t>Work package number</w:t>
            </w:r>
          </w:p>
        </w:tc>
        <w:tc>
          <w:tcPr>
            <w:tcW w:w="504" w:type="pct"/>
            <w:vAlign w:val="center"/>
          </w:tcPr>
          <w:p w:rsidR="00920DE9" w:rsidRPr="008349E9" w:rsidRDefault="00920DE9" w:rsidP="00B624D6">
            <w:pPr>
              <w:rPr>
                <w:rFonts w:eastAsia="ヒラギノ角ゴ Pro W3"/>
                <w:color w:val="000000"/>
                <w:lang w:val="en-GB"/>
              </w:rPr>
            </w:pPr>
            <w:r w:rsidRPr="008349E9">
              <w:rPr>
                <w:rFonts w:eastAsia="ヒラギノ角ゴ Pro W3"/>
                <w:color w:val="000000"/>
                <w:lang w:val="en-GB"/>
              </w:rPr>
              <w:t>WP</w:t>
            </w:r>
            <w:r w:rsidR="00C35C4E">
              <w:rPr>
                <w:rFonts w:eastAsia="ヒラギノ角ゴ Pro W3"/>
                <w:color w:val="000000"/>
                <w:lang w:val="en-GB"/>
              </w:rPr>
              <w:t>11</w:t>
            </w:r>
          </w:p>
        </w:tc>
        <w:tc>
          <w:tcPr>
            <w:tcW w:w="1327" w:type="pct"/>
            <w:vAlign w:val="center"/>
          </w:tcPr>
          <w:p w:rsidR="00920DE9" w:rsidRPr="008349E9" w:rsidRDefault="00920DE9" w:rsidP="00B624D6">
            <w:pPr>
              <w:rPr>
                <w:rFonts w:eastAsia="ヒラギノ角ゴ Pro W3"/>
                <w:b/>
                <w:color w:val="000000"/>
                <w:lang w:val="en-GB"/>
              </w:rPr>
            </w:pPr>
            <w:r w:rsidRPr="008349E9">
              <w:rPr>
                <w:rFonts w:eastAsia="ヒラギノ角ゴ Pro W3"/>
                <w:b/>
                <w:color w:val="000000"/>
                <w:lang w:val="en-GB"/>
              </w:rPr>
              <w:t>Start date</w:t>
            </w:r>
          </w:p>
        </w:tc>
        <w:tc>
          <w:tcPr>
            <w:tcW w:w="1817" w:type="pct"/>
            <w:vAlign w:val="center"/>
          </w:tcPr>
          <w:p w:rsidR="00920DE9" w:rsidRPr="008349E9" w:rsidRDefault="00920DE9" w:rsidP="00B624D6">
            <w:pPr>
              <w:rPr>
                <w:rFonts w:eastAsia="ヒラギノ角ゴ Pro W3"/>
                <w:color w:val="000000"/>
                <w:lang w:val="en-GB"/>
              </w:rPr>
            </w:pPr>
            <w:r w:rsidRPr="008349E9">
              <w:rPr>
                <w:rFonts w:eastAsia="ヒラギノ角ゴ Pro W3"/>
                <w:color w:val="000000"/>
                <w:lang w:val="en-GB"/>
              </w:rPr>
              <w:t>01/06/2019</w:t>
            </w:r>
          </w:p>
        </w:tc>
      </w:tr>
      <w:tr w:rsidR="00920DE9" w:rsidRPr="008349E9" w:rsidTr="00B624D6">
        <w:trPr>
          <w:trHeight w:val="340"/>
          <w:jc w:val="center"/>
        </w:trPr>
        <w:tc>
          <w:tcPr>
            <w:tcW w:w="1352" w:type="pct"/>
            <w:vAlign w:val="center"/>
          </w:tcPr>
          <w:p w:rsidR="00920DE9" w:rsidRPr="008349E9" w:rsidRDefault="00920DE9" w:rsidP="00B624D6">
            <w:pPr>
              <w:rPr>
                <w:b/>
                <w:lang w:val="en-GB"/>
              </w:rPr>
            </w:pPr>
            <w:r w:rsidRPr="008349E9">
              <w:rPr>
                <w:b/>
                <w:lang w:val="en-GB"/>
              </w:rPr>
              <w:t>Activity Type</w:t>
            </w:r>
          </w:p>
        </w:tc>
        <w:tc>
          <w:tcPr>
            <w:tcW w:w="3648" w:type="pct"/>
            <w:gridSpan w:val="3"/>
            <w:tcBorders>
              <w:right w:val="single" w:sz="4" w:space="0" w:color="000000"/>
            </w:tcBorders>
            <w:vAlign w:val="center"/>
          </w:tcPr>
          <w:p w:rsidR="00920DE9" w:rsidRPr="008349E9" w:rsidRDefault="00920DE9" w:rsidP="00B624D6">
            <w:pPr>
              <w:rPr>
                <w:lang w:val="en-GB"/>
              </w:rPr>
            </w:pPr>
            <w:r>
              <w:rPr>
                <w:lang w:val="en-GB"/>
              </w:rPr>
              <w:t>Virtual</w:t>
            </w:r>
            <w:r w:rsidRPr="008349E9">
              <w:rPr>
                <w:lang w:val="en-GB"/>
              </w:rPr>
              <w:t xml:space="preserve"> Access</w:t>
            </w:r>
          </w:p>
        </w:tc>
      </w:tr>
      <w:tr w:rsidR="00920DE9" w:rsidRPr="00F57A2E" w:rsidTr="00B624D6">
        <w:trPr>
          <w:trHeight w:val="340"/>
          <w:jc w:val="center"/>
        </w:trPr>
        <w:tc>
          <w:tcPr>
            <w:tcW w:w="1352" w:type="pct"/>
            <w:vAlign w:val="center"/>
          </w:tcPr>
          <w:p w:rsidR="00920DE9" w:rsidRPr="008349E9" w:rsidRDefault="00920DE9" w:rsidP="00B624D6">
            <w:pPr>
              <w:rPr>
                <w:b/>
                <w:lang w:val="en-GB"/>
              </w:rPr>
            </w:pPr>
            <w:r w:rsidRPr="008349E9">
              <w:rPr>
                <w:b/>
                <w:lang w:val="en-GB"/>
              </w:rPr>
              <w:t>Work package acronym</w:t>
            </w:r>
          </w:p>
        </w:tc>
        <w:tc>
          <w:tcPr>
            <w:tcW w:w="3648" w:type="pct"/>
            <w:gridSpan w:val="3"/>
            <w:tcBorders>
              <w:right w:val="single" w:sz="4" w:space="0" w:color="000000"/>
            </w:tcBorders>
            <w:vAlign w:val="center"/>
          </w:tcPr>
          <w:p w:rsidR="00920DE9" w:rsidRPr="008349E9" w:rsidRDefault="00C35C4E" w:rsidP="00C35C4E">
            <w:pPr>
              <w:rPr>
                <w:lang w:val="en-GB"/>
              </w:rPr>
            </w:pPr>
            <w:r w:rsidRPr="00C35C4E">
              <w:rPr>
                <w:lang w:val="en-GB"/>
              </w:rPr>
              <w:t>VA2-</w:t>
            </w:r>
            <w:r>
              <w:rPr>
                <w:lang w:val="en-GB"/>
              </w:rPr>
              <w:t>3DPartons</w:t>
            </w:r>
          </w:p>
        </w:tc>
      </w:tr>
      <w:tr w:rsidR="00920DE9" w:rsidRPr="009E43FE" w:rsidTr="00B624D6">
        <w:trPr>
          <w:trHeight w:val="340"/>
          <w:jc w:val="center"/>
        </w:trPr>
        <w:tc>
          <w:tcPr>
            <w:tcW w:w="1352" w:type="pct"/>
            <w:vAlign w:val="center"/>
          </w:tcPr>
          <w:p w:rsidR="00920DE9" w:rsidRPr="008349E9" w:rsidRDefault="00920DE9" w:rsidP="00B624D6">
            <w:pPr>
              <w:rPr>
                <w:b/>
                <w:lang w:val="en-GB"/>
              </w:rPr>
            </w:pPr>
            <w:r w:rsidRPr="008349E9">
              <w:rPr>
                <w:b/>
                <w:lang w:val="en-GB"/>
              </w:rPr>
              <w:t>Work package title</w:t>
            </w:r>
          </w:p>
        </w:tc>
        <w:tc>
          <w:tcPr>
            <w:tcW w:w="3648" w:type="pct"/>
            <w:gridSpan w:val="3"/>
            <w:vAlign w:val="center"/>
          </w:tcPr>
          <w:p w:rsidR="00920DE9" w:rsidRPr="008349E9" w:rsidRDefault="00C35C4E" w:rsidP="00920DE9">
            <w:pPr>
              <w:jc w:val="both"/>
              <w:rPr>
                <w:lang w:val="en-GB"/>
              </w:rPr>
            </w:pPr>
            <w:r w:rsidRPr="00C35C4E">
              <w:rPr>
                <w:lang w:val="en-GB"/>
              </w:rPr>
              <w:t>Virtual Access to 3DPartons</w:t>
            </w:r>
          </w:p>
        </w:tc>
      </w:tr>
      <w:tr w:rsidR="00920DE9" w:rsidRPr="008349E9" w:rsidTr="00B624D6">
        <w:trPr>
          <w:trHeight w:val="340"/>
          <w:jc w:val="center"/>
        </w:trPr>
        <w:tc>
          <w:tcPr>
            <w:tcW w:w="1352" w:type="pct"/>
            <w:tcBorders>
              <w:bottom w:val="single" w:sz="4" w:space="0" w:color="000000"/>
            </w:tcBorders>
            <w:vAlign w:val="center"/>
          </w:tcPr>
          <w:p w:rsidR="00920DE9" w:rsidRPr="008349E9" w:rsidRDefault="00920DE9" w:rsidP="00B624D6">
            <w:pPr>
              <w:rPr>
                <w:b/>
                <w:lang w:val="en-GB"/>
              </w:rPr>
            </w:pPr>
            <w:r w:rsidRPr="008349E9">
              <w:rPr>
                <w:b/>
                <w:lang w:val="en-GB"/>
              </w:rPr>
              <w:t>Lead beneficiary</w:t>
            </w:r>
          </w:p>
        </w:tc>
        <w:tc>
          <w:tcPr>
            <w:tcW w:w="3648" w:type="pct"/>
            <w:gridSpan w:val="3"/>
            <w:tcBorders>
              <w:bottom w:val="single" w:sz="4" w:space="0" w:color="000000"/>
            </w:tcBorders>
            <w:vAlign w:val="center"/>
          </w:tcPr>
          <w:p w:rsidR="00920DE9" w:rsidRPr="008349E9" w:rsidRDefault="00C35C4E" w:rsidP="00B624D6">
            <w:pPr>
              <w:rPr>
                <w:lang w:val="en-GB"/>
              </w:rPr>
            </w:pPr>
            <w:r w:rsidRPr="00C35C4E">
              <w:rPr>
                <w:lang w:val="en-GB"/>
              </w:rPr>
              <w:t>24 - CEA</w:t>
            </w:r>
          </w:p>
        </w:tc>
      </w:tr>
    </w:tbl>
    <w:p w:rsidR="004270AC" w:rsidRDefault="00700CE2" w:rsidP="004270AC">
      <w:pPr>
        <w:keepNext/>
        <w:keepLines/>
        <w:numPr>
          <w:ilvl w:val="0"/>
          <w:numId w:val="1"/>
        </w:numPr>
        <w:spacing w:before="240"/>
        <w:ind w:left="0" w:firstLine="0"/>
        <w:jc w:val="both"/>
        <w:outlineLvl w:val="0"/>
        <w:rPr>
          <w:rFonts w:eastAsiaTheme="majorEastAsia" w:cstheme="majorBidi"/>
          <w:color w:val="0070C0"/>
          <w:sz w:val="28"/>
          <w:szCs w:val="32"/>
          <w:lang w:val="en-US"/>
        </w:rPr>
      </w:pPr>
      <w:r w:rsidRPr="00700CE2">
        <w:rPr>
          <w:rFonts w:eastAsiaTheme="majorEastAsia" w:cstheme="majorBidi"/>
          <w:color w:val="0070C0"/>
          <w:sz w:val="28"/>
          <w:szCs w:val="32"/>
          <w:lang w:val="en-US"/>
        </w:rPr>
        <w:t xml:space="preserve">Description of </w:t>
      </w:r>
      <w:r w:rsidR="00681267" w:rsidRPr="00681267">
        <w:rPr>
          <w:rFonts w:eastAsiaTheme="majorEastAsia" w:cstheme="majorBidi"/>
          <w:color w:val="0070C0"/>
          <w:sz w:val="28"/>
          <w:szCs w:val="32"/>
          <w:lang w:val="en-US"/>
        </w:rPr>
        <w:t>access facilities</w:t>
      </w:r>
    </w:p>
    <w:p w:rsidR="004270AC" w:rsidRPr="004270AC" w:rsidRDefault="004270AC" w:rsidP="004270AC">
      <w:pPr>
        <w:keepNext/>
        <w:keepLines/>
        <w:jc w:val="both"/>
        <w:outlineLvl w:val="0"/>
        <w:rPr>
          <w:rFonts w:eastAsiaTheme="majorEastAsia" w:cstheme="majorBidi"/>
          <w:color w:val="0070C0"/>
          <w:sz w:val="28"/>
          <w:szCs w:val="32"/>
          <w:lang w:val="en-US"/>
        </w:rPr>
      </w:pPr>
    </w:p>
    <w:p w:rsidR="00B829CE" w:rsidRPr="00EA7396" w:rsidRDefault="00650711" w:rsidP="00B829CE">
      <w:pPr>
        <w:keepNext/>
        <w:keepLines/>
        <w:numPr>
          <w:ilvl w:val="1"/>
          <w:numId w:val="1"/>
        </w:numPr>
        <w:spacing w:before="40"/>
        <w:ind w:left="284" w:hanging="284"/>
        <w:jc w:val="both"/>
        <w:outlineLvl w:val="1"/>
        <w:rPr>
          <w:rFonts w:eastAsiaTheme="majorEastAsia" w:cstheme="majorBidi"/>
          <w:b/>
          <w:szCs w:val="26"/>
          <w:lang w:val="en-US"/>
        </w:rPr>
      </w:pPr>
      <w:r>
        <w:rPr>
          <w:rFonts w:eastAsiaTheme="majorEastAsia" w:cstheme="majorBidi"/>
          <w:b/>
          <w:szCs w:val="26"/>
          <w:lang w:val="en-US"/>
        </w:rPr>
        <w:t>Modalities and</w:t>
      </w:r>
      <w:r w:rsidR="00681267" w:rsidRPr="00681267">
        <w:rPr>
          <w:rFonts w:eastAsiaTheme="majorEastAsia" w:cstheme="majorBidi"/>
          <w:b/>
          <w:szCs w:val="26"/>
          <w:lang w:val="en-US"/>
        </w:rPr>
        <w:t xml:space="preserve"> opportunities for access</w:t>
      </w:r>
    </w:p>
    <w:p w:rsidR="00045C2F" w:rsidRDefault="00045C2F" w:rsidP="00FB50CF">
      <w:pPr>
        <w:jc w:val="both"/>
        <w:rPr>
          <w:lang w:val="en-US"/>
        </w:rPr>
      </w:pPr>
    </w:p>
    <w:p w:rsidR="005F19C0" w:rsidRPr="00FB50CF" w:rsidRDefault="00B829CE" w:rsidP="00FB50CF">
      <w:pPr>
        <w:jc w:val="both"/>
        <w:rPr>
          <w:lang w:val="en-US"/>
        </w:rPr>
      </w:pPr>
      <w:r w:rsidRPr="00FB50CF">
        <w:rPr>
          <w:lang w:val="en-US"/>
        </w:rPr>
        <w:t>The</w:t>
      </w:r>
      <w:r w:rsidRPr="00FB50CF">
        <w:rPr>
          <w:lang w:val="en-US"/>
        </w:rPr>
        <w:t xml:space="preserve"> 3DParton main website</w:t>
      </w:r>
      <w:r w:rsidR="00DE6F11">
        <w:rPr>
          <w:lang w:val="en-US"/>
        </w:rPr>
        <w:t xml:space="preserve"> (</w:t>
      </w:r>
      <w:hyperlink r:id="rId8" w:history="1">
        <w:r w:rsidR="00DE6F11" w:rsidRPr="00A64EEA">
          <w:rPr>
            <w:rStyle w:val="Hyperlink"/>
            <w:lang w:val="en-US"/>
          </w:rPr>
          <w:t>http://partons.cea.fr</w:t>
        </w:r>
      </w:hyperlink>
      <w:r w:rsidR="00DE6F11">
        <w:rPr>
          <w:lang w:val="en-US"/>
        </w:rPr>
        <w:t xml:space="preserve">), </w:t>
      </w:r>
      <w:r w:rsidRPr="00FB50CF">
        <w:rPr>
          <w:lang w:val="en-US"/>
        </w:rPr>
        <w:t>also</w:t>
      </w:r>
      <w:r w:rsidRPr="00FB50CF">
        <w:rPr>
          <w:lang w:val="en-US"/>
        </w:rPr>
        <w:t xml:space="preserve"> referenced </w:t>
      </w:r>
      <w:r w:rsidRPr="00FB50CF">
        <w:rPr>
          <w:lang w:val="en-US"/>
        </w:rPr>
        <w:t xml:space="preserve">to </w:t>
      </w:r>
      <w:r w:rsidRPr="00FB50CF">
        <w:rPr>
          <w:lang w:val="en-US"/>
        </w:rPr>
        <w:t>on the STRONG-2020 webpage</w:t>
      </w:r>
      <w:r w:rsidRPr="00FB50CF">
        <w:rPr>
          <w:lang w:val="en-US"/>
        </w:rPr>
        <w:t xml:space="preserve"> devoted to this work package </w:t>
      </w:r>
      <w:r w:rsidR="00DE6F11">
        <w:rPr>
          <w:lang w:val="en-US"/>
        </w:rPr>
        <w:t>(</w:t>
      </w:r>
      <w:hyperlink r:id="rId9" w:history="1">
        <w:r w:rsidR="00DE6F11" w:rsidRPr="00A64EEA">
          <w:rPr>
            <w:rStyle w:val="Hyperlink"/>
            <w:lang w:val="en-US"/>
          </w:rPr>
          <w:t>http://www.strong-2</w:t>
        </w:r>
        <w:r w:rsidR="00DE6F11" w:rsidRPr="00A64EEA">
          <w:rPr>
            <w:rStyle w:val="Hyperlink"/>
            <w:lang w:val="en-US"/>
          </w:rPr>
          <w:t>0</w:t>
        </w:r>
        <w:r w:rsidR="00DE6F11" w:rsidRPr="00A64EEA">
          <w:rPr>
            <w:rStyle w:val="Hyperlink"/>
            <w:lang w:val="en-US"/>
          </w:rPr>
          <w:t>20.eu/virtual-access/va2-3dpartons.html</w:t>
        </w:r>
      </w:hyperlink>
      <w:r w:rsidR="00DE6F11">
        <w:rPr>
          <w:lang w:val="en-US"/>
        </w:rPr>
        <w:t>),</w:t>
      </w:r>
      <w:r w:rsidRPr="00FB50CF">
        <w:rPr>
          <w:lang w:val="en-US"/>
        </w:rPr>
        <w:t xml:space="preserve"> has undergone maintenance and </w:t>
      </w:r>
      <w:r w:rsidR="00DE6F11">
        <w:rPr>
          <w:lang w:val="en-US"/>
        </w:rPr>
        <w:t xml:space="preserve">it has been recently </w:t>
      </w:r>
      <w:r w:rsidRPr="00FB50CF">
        <w:rPr>
          <w:lang w:val="en-US"/>
        </w:rPr>
        <w:t>updated</w:t>
      </w:r>
      <w:r w:rsidR="005F19C0" w:rsidRPr="00FB50CF">
        <w:rPr>
          <w:lang w:val="en-US"/>
        </w:rPr>
        <w:t xml:space="preserve"> to advertise the release of version 4 of PARTONS and its dependencies. </w:t>
      </w:r>
      <w:r w:rsidR="001F2988" w:rsidRPr="00FB50CF">
        <w:rPr>
          <w:lang w:val="en-US"/>
        </w:rPr>
        <w:t>PARTONS</w:t>
      </w:r>
      <w:r w:rsidR="00DE6F11">
        <w:rPr>
          <w:lang w:val="en-US"/>
        </w:rPr>
        <w:t xml:space="preserve"> </w:t>
      </w:r>
      <w:r w:rsidR="001F2988" w:rsidRPr="00FB50CF">
        <w:rPr>
          <w:lang w:val="en-US"/>
        </w:rPr>
        <w:t>v4, amongst other improvements, provides a wider set of physical observables and models fo</w:t>
      </w:r>
      <w:r w:rsidR="00A55A23" w:rsidRPr="00FB50CF">
        <w:rPr>
          <w:lang w:val="en-US"/>
        </w:rPr>
        <w:t>r</w:t>
      </w:r>
      <w:r w:rsidR="001F2988" w:rsidRPr="00FB50CF">
        <w:rPr>
          <w:lang w:val="en-US"/>
        </w:rPr>
        <w:t xml:space="preserve"> generalized parton distributions (GPDs). </w:t>
      </w:r>
      <w:r w:rsidR="005F19C0" w:rsidRPr="00FB50CF">
        <w:rPr>
          <w:lang w:val="en-US"/>
        </w:rPr>
        <w:t>Alongside, a virtual machine Docker image with PARTONS v4 has been released. This virtual machine allows users to run PARTONS out of the box on any machine without the burden of having to compile and install locally the software.</w:t>
      </w:r>
    </w:p>
    <w:p w:rsidR="00DE6F11" w:rsidRDefault="00DE6F11" w:rsidP="00FB50CF">
      <w:pPr>
        <w:jc w:val="both"/>
        <w:rPr>
          <w:lang w:val="en-US"/>
        </w:rPr>
      </w:pPr>
    </w:p>
    <w:p w:rsidR="00DE6F11" w:rsidRDefault="00DE6F11" w:rsidP="00FB50CF">
      <w:pPr>
        <w:jc w:val="both"/>
        <w:rPr>
          <w:lang w:val="en-US"/>
        </w:rPr>
      </w:pPr>
      <w:r>
        <w:rPr>
          <w:lang w:val="en-US"/>
        </w:rPr>
        <w:t>T</w:t>
      </w:r>
      <w:r w:rsidR="005F19C0" w:rsidRPr="00FB50CF">
        <w:rPr>
          <w:lang w:val="en-US"/>
        </w:rPr>
        <w:t>he PARTONS website, not only provides information about this specific code</w:t>
      </w:r>
      <w:r w:rsidR="001F2988" w:rsidRPr="00FB50CF">
        <w:rPr>
          <w:lang w:val="en-US"/>
        </w:rPr>
        <w:t xml:space="preserve"> that is mostly devoted to GPDs</w:t>
      </w:r>
      <w:r w:rsidR="005F19C0" w:rsidRPr="00FB50CF">
        <w:rPr>
          <w:lang w:val="en-US"/>
        </w:rPr>
        <w:t xml:space="preserve">, but also makes reference to other software of the 3DPartons family, such as APFEL, </w:t>
      </w:r>
      <w:proofErr w:type="spellStart"/>
      <w:r w:rsidR="005F19C0" w:rsidRPr="00FB50CF">
        <w:rPr>
          <w:lang w:val="en-US"/>
        </w:rPr>
        <w:t>xFitter</w:t>
      </w:r>
      <w:proofErr w:type="spellEnd"/>
      <w:r w:rsidR="005F19C0" w:rsidRPr="00FB50CF">
        <w:rPr>
          <w:lang w:val="en-US"/>
        </w:rPr>
        <w:t xml:space="preserve">, </w:t>
      </w:r>
      <w:proofErr w:type="spellStart"/>
      <w:r w:rsidR="005F19C0" w:rsidRPr="00FB50CF">
        <w:rPr>
          <w:lang w:val="en-US"/>
        </w:rPr>
        <w:t>NangaParbat</w:t>
      </w:r>
      <w:proofErr w:type="spellEnd"/>
      <w:r w:rsidR="005F19C0" w:rsidRPr="00FB50CF">
        <w:rPr>
          <w:lang w:val="en-US"/>
        </w:rPr>
        <w:t xml:space="preserve">, </w:t>
      </w:r>
      <w:proofErr w:type="spellStart"/>
      <w:r w:rsidR="005F19C0" w:rsidRPr="00FB50CF">
        <w:rPr>
          <w:lang w:val="en-US"/>
        </w:rPr>
        <w:t>MontBlanc</w:t>
      </w:r>
      <w:proofErr w:type="spellEnd"/>
      <w:r w:rsidR="005F19C0" w:rsidRPr="00FB50CF">
        <w:rPr>
          <w:lang w:val="en-US"/>
        </w:rPr>
        <w:t xml:space="preserve">, </w:t>
      </w:r>
      <w:proofErr w:type="spellStart"/>
      <w:r w:rsidR="005F19C0" w:rsidRPr="00FB50CF">
        <w:rPr>
          <w:lang w:val="en-US"/>
        </w:rPr>
        <w:t>TMDlib</w:t>
      </w:r>
      <w:proofErr w:type="spellEnd"/>
      <w:r w:rsidR="005F19C0" w:rsidRPr="00FB50CF">
        <w:rPr>
          <w:lang w:val="en-US"/>
        </w:rPr>
        <w:t xml:space="preserve">. These codes are devoted to the study of collinear </w:t>
      </w:r>
      <w:r w:rsidR="001F2988" w:rsidRPr="00FB50CF">
        <w:rPr>
          <w:lang w:val="en-US"/>
        </w:rPr>
        <w:t>parton distribution functions (PDFs) and fragmentation functions (FFs)</w:t>
      </w:r>
      <w:r w:rsidR="001F2988" w:rsidRPr="00FB50CF">
        <w:rPr>
          <w:lang w:val="en-US"/>
        </w:rPr>
        <w:t xml:space="preserve"> </w:t>
      </w:r>
      <w:r w:rsidR="005F19C0" w:rsidRPr="00FB50CF">
        <w:rPr>
          <w:lang w:val="en-US"/>
        </w:rPr>
        <w:t xml:space="preserve">as well as </w:t>
      </w:r>
      <w:r>
        <w:rPr>
          <w:lang w:val="en-US"/>
        </w:rPr>
        <w:t xml:space="preserve">of </w:t>
      </w:r>
      <w:r w:rsidR="005F19C0" w:rsidRPr="00FB50CF">
        <w:rPr>
          <w:lang w:val="en-US"/>
        </w:rPr>
        <w:t>transverse-momentum-dependent distributions</w:t>
      </w:r>
      <w:r w:rsidR="001F2988" w:rsidRPr="00FB50CF">
        <w:rPr>
          <w:lang w:val="en-US"/>
        </w:rPr>
        <w:t xml:space="preserve"> (TMDs) and generalized TMDs (GTMDs). </w:t>
      </w:r>
    </w:p>
    <w:p w:rsidR="00DE6F11" w:rsidRDefault="00DE6F11" w:rsidP="00FB50CF">
      <w:pPr>
        <w:jc w:val="both"/>
        <w:rPr>
          <w:lang w:val="en-US"/>
        </w:rPr>
      </w:pPr>
    </w:p>
    <w:p w:rsidR="00B829CE" w:rsidRDefault="00DE6F11" w:rsidP="00FB50CF">
      <w:pPr>
        <w:jc w:val="both"/>
        <w:rPr>
          <w:lang w:val="en-US"/>
        </w:rPr>
      </w:pPr>
      <w:r>
        <w:rPr>
          <w:lang w:val="en-US"/>
        </w:rPr>
        <w:t>A</w:t>
      </w:r>
      <w:r w:rsidR="001F2988" w:rsidRPr="00FB50CF">
        <w:rPr>
          <w:lang w:val="en-US"/>
        </w:rPr>
        <w:t xml:space="preserve"> link to the webpage of the new multipurpose Monte Carlo generator software </w:t>
      </w:r>
      <w:proofErr w:type="spellStart"/>
      <w:r w:rsidR="001F2988" w:rsidRPr="00FB50CF">
        <w:rPr>
          <w:lang w:val="en-US"/>
        </w:rPr>
        <w:t>EpIC</w:t>
      </w:r>
      <w:proofErr w:type="spellEnd"/>
      <w:r w:rsidR="001F2988" w:rsidRPr="00FB50CF">
        <w:rPr>
          <w:lang w:val="en-US"/>
        </w:rPr>
        <w:t xml:space="preserve"> for exclusive process based on PARTONS (</w:t>
      </w:r>
      <w:hyperlink r:id="rId10" w:history="1">
        <w:r w:rsidR="001F2988" w:rsidRPr="00FB50CF">
          <w:rPr>
            <w:rStyle w:val="Hyperlink"/>
            <w:lang w:val="en-US"/>
          </w:rPr>
          <w:t>https://github.com/pawelsznajder/epic</w:t>
        </w:r>
      </w:hyperlink>
      <w:r w:rsidR="001F2988" w:rsidRPr="00FB50CF">
        <w:rPr>
          <w:lang w:val="en-US"/>
        </w:rPr>
        <w:t>) has been added to the PARTONS webpage.</w:t>
      </w:r>
    </w:p>
    <w:p w:rsidR="00DE6F11" w:rsidRPr="00FB50CF" w:rsidRDefault="00DE6F11" w:rsidP="00FB50CF">
      <w:pPr>
        <w:jc w:val="both"/>
        <w:rPr>
          <w:lang w:val="en-US"/>
        </w:rPr>
      </w:pPr>
    </w:p>
    <w:p w:rsidR="00B829CE" w:rsidRPr="00FB50CF" w:rsidRDefault="001F2988" w:rsidP="00FB50CF">
      <w:pPr>
        <w:jc w:val="both"/>
        <w:rPr>
          <w:lang w:val="en-US"/>
        </w:rPr>
      </w:pPr>
      <w:r w:rsidRPr="00FB50CF">
        <w:rPr>
          <w:lang w:val="en-US"/>
        </w:rPr>
        <w:t xml:space="preserve">In view of the constantly growing popularity of the </w:t>
      </w:r>
      <w:r w:rsidR="00835962" w:rsidRPr="00FB50CF">
        <w:rPr>
          <w:lang w:val="en-US"/>
        </w:rPr>
        <w:t>P</w:t>
      </w:r>
      <w:r w:rsidRPr="00FB50CF">
        <w:rPr>
          <w:lang w:val="en-US"/>
        </w:rPr>
        <w:t>ython</w:t>
      </w:r>
      <w:r w:rsidR="00835962" w:rsidRPr="00FB50CF">
        <w:rPr>
          <w:lang w:val="en-US"/>
        </w:rPr>
        <w:t>,</w:t>
      </w:r>
      <w:r w:rsidRPr="00FB50CF">
        <w:rPr>
          <w:lang w:val="en-US"/>
        </w:rPr>
        <w:t xml:space="preserve"> </w:t>
      </w:r>
      <w:r w:rsidR="00DE6F11">
        <w:rPr>
          <w:lang w:val="en-US"/>
        </w:rPr>
        <w:t xml:space="preserve">a </w:t>
      </w:r>
      <w:proofErr w:type="gramStart"/>
      <w:r w:rsidRPr="00FB50CF">
        <w:rPr>
          <w:lang w:val="en-US"/>
        </w:rPr>
        <w:t xml:space="preserve">user </w:t>
      </w:r>
      <w:r w:rsidR="00835962" w:rsidRPr="00FB50CF">
        <w:rPr>
          <w:lang w:val="en-US"/>
        </w:rPr>
        <w:t>friendly</w:t>
      </w:r>
      <w:proofErr w:type="gramEnd"/>
      <w:r w:rsidRPr="00FB50CF">
        <w:rPr>
          <w:lang w:val="en-US"/>
        </w:rPr>
        <w:t xml:space="preserve"> </w:t>
      </w:r>
      <w:r w:rsidR="00DE6F11">
        <w:rPr>
          <w:lang w:val="en-US"/>
        </w:rPr>
        <w:t>language that</w:t>
      </w:r>
      <w:r w:rsidRPr="00FB50CF">
        <w:rPr>
          <w:lang w:val="en-US"/>
        </w:rPr>
        <w:t xml:space="preserve"> comes with a very large number of </w:t>
      </w:r>
      <w:r w:rsidR="00835962" w:rsidRPr="00FB50CF">
        <w:rPr>
          <w:lang w:val="en-US"/>
        </w:rPr>
        <w:t xml:space="preserve">tools </w:t>
      </w:r>
      <w:r w:rsidR="00DE6F11">
        <w:rPr>
          <w:lang w:val="en-US"/>
        </w:rPr>
        <w:t>for</w:t>
      </w:r>
      <w:r w:rsidR="00835962" w:rsidRPr="00FB50CF">
        <w:rPr>
          <w:lang w:val="en-US"/>
        </w:rPr>
        <w:t xml:space="preserve">, </w:t>
      </w:r>
      <w:r w:rsidR="00835962" w:rsidRPr="00FB50CF">
        <w:rPr>
          <w:i/>
          <w:iCs/>
          <w:lang w:val="en-US"/>
        </w:rPr>
        <w:t>e.g.</w:t>
      </w:r>
      <w:r w:rsidR="00835962" w:rsidRPr="00FB50CF">
        <w:rPr>
          <w:lang w:val="en-US"/>
        </w:rPr>
        <w:t xml:space="preserve">, statistical analysis and plotting, a wrapper of PARTONS </w:t>
      </w:r>
      <w:r w:rsidR="00DE6F11">
        <w:rPr>
          <w:lang w:val="en-US"/>
        </w:rPr>
        <w:t xml:space="preserve">in this language </w:t>
      </w:r>
      <w:r w:rsidR="00835962" w:rsidRPr="00FB50CF">
        <w:rPr>
          <w:lang w:val="en-US"/>
        </w:rPr>
        <w:t xml:space="preserve">has finally been released. This wrapper allows the user to </w:t>
      </w:r>
      <w:r w:rsidR="00DE6F11">
        <w:rPr>
          <w:lang w:val="en-US"/>
        </w:rPr>
        <w:t>access</w:t>
      </w:r>
      <w:r w:rsidR="00835962" w:rsidRPr="00FB50CF">
        <w:rPr>
          <w:lang w:val="en-US"/>
        </w:rPr>
        <w:t xml:space="preserve"> most of the main functionalities of PARTONS </w:t>
      </w:r>
      <w:r w:rsidR="00DE6F11" w:rsidRPr="00FB50CF">
        <w:rPr>
          <w:lang w:val="en-US"/>
        </w:rPr>
        <w:t xml:space="preserve">through </w:t>
      </w:r>
      <w:r w:rsidR="00DE6F11">
        <w:rPr>
          <w:lang w:val="en-US"/>
        </w:rPr>
        <w:t>a P</w:t>
      </w:r>
      <w:r w:rsidR="00DE6F11" w:rsidRPr="00FB50CF">
        <w:rPr>
          <w:lang w:val="en-US"/>
        </w:rPr>
        <w:t>ython</w:t>
      </w:r>
      <w:r w:rsidR="00DE6F11" w:rsidRPr="00FB50CF">
        <w:rPr>
          <w:lang w:val="en-US"/>
        </w:rPr>
        <w:t xml:space="preserve"> </w:t>
      </w:r>
      <w:r w:rsidR="00DE6F11">
        <w:rPr>
          <w:lang w:val="en-US"/>
        </w:rPr>
        <w:t xml:space="preserve">interface, </w:t>
      </w:r>
      <w:r w:rsidR="00835962" w:rsidRPr="00FB50CF">
        <w:rPr>
          <w:lang w:val="en-US"/>
        </w:rPr>
        <w:t xml:space="preserve">giving </w:t>
      </w:r>
      <w:r w:rsidR="00DE6F11">
        <w:rPr>
          <w:lang w:val="en-US"/>
        </w:rPr>
        <w:t>one</w:t>
      </w:r>
      <w:r w:rsidR="00835962" w:rsidRPr="00FB50CF">
        <w:rPr>
          <w:lang w:val="en-US"/>
        </w:rPr>
        <w:t xml:space="preserve"> the possibility to make it interoperable with other tools such as NumPy, Pandas, and Matplotlib.</w:t>
      </w:r>
    </w:p>
    <w:p w:rsidR="00DE6F11" w:rsidRDefault="00DE6F11" w:rsidP="00FB50CF">
      <w:pPr>
        <w:jc w:val="both"/>
        <w:rPr>
          <w:lang w:val="en-US"/>
        </w:rPr>
      </w:pPr>
    </w:p>
    <w:p w:rsidR="00700CE2" w:rsidRPr="00700CE2" w:rsidRDefault="00FF694C" w:rsidP="00FB50CF">
      <w:pPr>
        <w:jc w:val="both"/>
        <w:rPr>
          <w:lang w:val="en-US"/>
        </w:rPr>
      </w:pPr>
      <w:r w:rsidRPr="00FB50CF">
        <w:rPr>
          <w:lang w:val="en-US"/>
        </w:rPr>
        <w:t>Finally, a</w:t>
      </w:r>
      <w:r w:rsidR="00B829CE" w:rsidRPr="00FB50CF">
        <w:rPr>
          <w:lang w:val="en-US"/>
        </w:rPr>
        <w:t xml:space="preserve"> workshop on the virtual access 3DPartons and related physics project</w:t>
      </w:r>
      <w:r w:rsidRPr="00FB50CF">
        <w:rPr>
          <w:lang w:val="en-US"/>
        </w:rPr>
        <w:t>s</w:t>
      </w:r>
      <w:r w:rsidR="00B829CE" w:rsidRPr="00FB50CF">
        <w:rPr>
          <w:lang w:val="en-US"/>
        </w:rPr>
        <w:t xml:space="preserve"> </w:t>
      </w:r>
      <w:r w:rsidR="00835962" w:rsidRPr="00FB50CF">
        <w:rPr>
          <w:lang w:val="en-US"/>
        </w:rPr>
        <w:t>has been held in October</w:t>
      </w:r>
      <w:r w:rsidR="00B829CE" w:rsidRPr="00FB50CF">
        <w:rPr>
          <w:lang w:val="en-US"/>
        </w:rPr>
        <w:t xml:space="preserve"> 2022</w:t>
      </w:r>
      <w:r w:rsidRPr="00FB50CF">
        <w:rPr>
          <w:lang w:val="en-US"/>
        </w:rPr>
        <w:t xml:space="preserve"> in the Paris area</w:t>
      </w:r>
      <w:r w:rsidR="00B829CE" w:rsidRPr="00FB50CF">
        <w:rPr>
          <w:lang w:val="en-US"/>
        </w:rPr>
        <w:t xml:space="preserve">. </w:t>
      </w:r>
      <w:r w:rsidR="00835962" w:rsidRPr="00FB50CF">
        <w:rPr>
          <w:lang w:val="en-US"/>
        </w:rPr>
        <w:t>The corresponding Indico p</w:t>
      </w:r>
      <w:r w:rsidRPr="00FB50CF">
        <w:rPr>
          <w:lang w:val="en-US"/>
        </w:rPr>
        <w:t>age can be consulted from here</w:t>
      </w:r>
      <w:r w:rsidR="00835962" w:rsidRPr="00FB50CF">
        <w:rPr>
          <w:lang w:val="en-US"/>
        </w:rPr>
        <w:t xml:space="preserve">: </w:t>
      </w:r>
      <w:r w:rsidR="00835962" w:rsidRPr="00FB50CF">
        <w:rPr>
          <w:lang w:val="en-US"/>
        </w:rPr>
        <w:t>https://indico.cern.ch/event/1175276/overview</w:t>
      </w:r>
      <w:r w:rsidR="00835962" w:rsidRPr="00FB50CF">
        <w:rPr>
          <w:lang w:val="en-US"/>
        </w:rPr>
        <w:t>.</w:t>
      </w:r>
    </w:p>
    <w:p w:rsidR="00151F0A" w:rsidRPr="00650711" w:rsidRDefault="00650711" w:rsidP="00151F0A">
      <w:pPr>
        <w:pStyle w:val="Heading1"/>
        <w:rPr>
          <w:lang w:val="en-US"/>
        </w:rPr>
      </w:pPr>
      <w:r>
        <w:rPr>
          <w:lang w:val="en-US"/>
        </w:rPr>
        <w:t xml:space="preserve">2.       </w:t>
      </w:r>
      <w:r w:rsidR="006432E1">
        <w:rPr>
          <w:lang w:val="en-US"/>
        </w:rPr>
        <w:t>International Assessment Board</w:t>
      </w:r>
    </w:p>
    <w:p w:rsidR="00FB50CF" w:rsidRDefault="00FB50CF" w:rsidP="00B637D6">
      <w:pPr>
        <w:pStyle w:val="Heading2"/>
        <w:rPr>
          <w:lang w:val="en-US"/>
        </w:rPr>
      </w:pPr>
    </w:p>
    <w:p w:rsidR="00700CE2" w:rsidRPr="00700CE2" w:rsidRDefault="00B637D6" w:rsidP="00B637D6">
      <w:pPr>
        <w:pStyle w:val="Heading2"/>
        <w:rPr>
          <w:lang w:val="en-US"/>
        </w:rPr>
      </w:pPr>
      <w:r>
        <w:rPr>
          <w:lang w:val="en-US"/>
        </w:rPr>
        <w:t>2.</w:t>
      </w:r>
      <w:r w:rsidRPr="00B637D6">
        <w:rPr>
          <w:lang w:val="en-US"/>
        </w:rPr>
        <w:t xml:space="preserve">1 Organization of </w:t>
      </w:r>
      <w:r w:rsidR="00106227">
        <w:rPr>
          <w:lang w:val="en-US"/>
        </w:rPr>
        <w:t>International Assessment B</w:t>
      </w:r>
      <w:r w:rsidR="00151F0A" w:rsidRPr="00151F0A">
        <w:rPr>
          <w:lang w:val="en-US"/>
        </w:rPr>
        <w:t>oard</w:t>
      </w:r>
    </w:p>
    <w:p w:rsidR="00045C2F" w:rsidRDefault="00045C2F" w:rsidP="00F533EC">
      <w:pPr>
        <w:jc w:val="both"/>
        <w:rPr>
          <w:lang w:val="en-US"/>
        </w:rPr>
      </w:pPr>
    </w:p>
    <w:p w:rsidR="003E7374" w:rsidRDefault="00F533EC" w:rsidP="00F533EC">
      <w:pPr>
        <w:jc w:val="both"/>
        <w:rPr>
          <w:lang w:val="en-US"/>
        </w:rPr>
      </w:pPr>
      <w:r w:rsidRPr="00AA57CB">
        <w:rPr>
          <w:lang w:val="en-US"/>
        </w:rPr>
        <w:t xml:space="preserve">This board consist of eight experts </w:t>
      </w:r>
      <w:r>
        <w:rPr>
          <w:lang w:val="en-US"/>
        </w:rPr>
        <w:t>in</w:t>
      </w:r>
      <w:r w:rsidRPr="00AA57CB">
        <w:rPr>
          <w:lang w:val="en-US"/>
        </w:rPr>
        <w:t xml:space="preserve"> </w:t>
      </w:r>
      <w:r>
        <w:rPr>
          <w:lang w:val="en-US"/>
        </w:rPr>
        <w:t>relevant</w:t>
      </w:r>
      <w:r w:rsidRPr="00AA57CB">
        <w:rPr>
          <w:lang w:val="en-US"/>
        </w:rPr>
        <w:t xml:space="preserve"> fields. It is composed of two theoretical physicists and two experimental physicists covering GPD and TMD domains, one physicist experienced in PDF fits and computing codes, and one expert experienced in </w:t>
      </w:r>
      <w:r>
        <w:rPr>
          <w:lang w:val="en-US"/>
        </w:rPr>
        <w:t>Monte Carlo</w:t>
      </w:r>
      <w:r w:rsidRPr="00AA57CB">
        <w:rPr>
          <w:lang w:val="en-US"/>
        </w:rPr>
        <w:t xml:space="preserve"> event generators. </w:t>
      </w:r>
      <w:r w:rsidRPr="00AA57CB">
        <w:rPr>
          <w:lang w:val="en-US"/>
        </w:rPr>
        <w:lastRenderedPageBreak/>
        <w:t>This panel of physicists is completed by two researchers specialized in software development and statistical data analysis.</w:t>
      </w:r>
    </w:p>
    <w:p w:rsidR="00FB50CF" w:rsidRDefault="00FB50CF" w:rsidP="00F533EC">
      <w:pPr>
        <w:jc w:val="both"/>
        <w:rPr>
          <w:lang w:val="en-US"/>
        </w:rPr>
      </w:pPr>
    </w:p>
    <w:p w:rsidR="00B637D6" w:rsidRDefault="002562CA" w:rsidP="002562CA">
      <w:pPr>
        <w:pStyle w:val="Heading2"/>
        <w:rPr>
          <w:lang w:val="en-US"/>
        </w:rPr>
      </w:pPr>
      <w:r>
        <w:rPr>
          <w:lang w:val="en-US"/>
        </w:rPr>
        <w:t xml:space="preserve">2.2 International Assessment Board Members  </w:t>
      </w:r>
    </w:p>
    <w:p w:rsidR="00045C2F" w:rsidRDefault="00045C2F" w:rsidP="00F533EC">
      <w:pPr>
        <w:jc w:val="both"/>
        <w:rPr>
          <w:lang w:val="en-US"/>
        </w:rPr>
      </w:pPr>
    </w:p>
    <w:p w:rsidR="00F533EC" w:rsidRDefault="00F533EC" w:rsidP="00F533EC">
      <w:pPr>
        <w:jc w:val="both"/>
        <w:rPr>
          <w:lang w:val="en-US"/>
        </w:rPr>
      </w:pPr>
      <w:r>
        <w:rPr>
          <w:lang w:val="en-US"/>
        </w:rPr>
        <w:t>In</w:t>
      </w:r>
      <w:r>
        <w:rPr>
          <w:lang w:val="en-US"/>
        </w:rPr>
        <w:t xml:space="preserve"> alphabetical order</w:t>
      </w:r>
      <w:r w:rsidR="00BA39DA">
        <w:rPr>
          <w:lang w:val="en-US"/>
        </w:rPr>
        <w:t>, the members of the International Assessment Board (IAB) are</w:t>
      </w:r>
      <w:r>
        <w:rPr>
          <w:lang w:val="en-US"/>
        </w:rPr>
        <w:t>:</w:t>
      </w:r>
    </w:p>
    <w:p w:rsidR="00BA39DA" w:rsidRDefault="00BA39DA" w:rsidP="00F533EC">
      <w:pPr>
        <w:jc w:val="both"/>
        <w:rPr>
          <w:lang w:val="en-US"/>
        </w:rPr>
      </w:pPr>
    </w:p>
    <w:p w:rsidR="00F533EC" w:rsidRPr="00E03863" w:rsidRDefault="00F533EC" w:rsidP="00F533EC">
      <w:pPr>
        <w:pStyle w:val="ListParagraph"/>
        <w:numPr>
          <w:ilvl w:val="0"/>
          <w:numId w:val="3"/>
        </w:numPr>
        <w:jc w:val="both"/>
      </w:pPr>
      <w:r w:rsidRPr="00E03863">
        <w:t>BOBIN, Jérôme</w:t>
      </w:r>
      <w:r>
        <w:t xml:space="preserve"> </w:t>
      </w:r>
      <w:r w:rsidRPr="00E03863">
        <w:t>(</w:t>
      </w:r>
      <w:r w:rsidRPr="00E03863">
        <w:rPr>
          <w:iCs/>
        </w:rPr>
        <w:t>IRFU, CEA, Université Paris-Saclay)</w:t>
      </w:r>
    </w:p>
    <w:p w:rsidR="00F533EC" w:rsidRPr="00E03863" w:rsidRDefault="00F533EC" w:rsidP="00F533EC">
      <w:pPr>
        <w:pStyle w:val="ListParagraph"/>
        <w:numPr>
          <w:ilvl w:val="0"/>
          <w:numId w:val="3"/>
        </w:numPr>
        <w:jc w:val="both"/>
        <w:rPr>
          <w:lang w:val="en-US"/>
        </w:rPr>
      </w:pPr>
      <w:r w:rsidRPr="00E03863">
        <w:rPr>
          <w:lang w:val="en-US"/>
        </w:rPr>
        <w:t>BRESSAN, Andrea</w:t>
      </w:r>
      <w:r>
        <w:rPr>
          <w:lang w:val="en-US"/>
        </w:rPr>
        <w:t xml:space="preserve"> (INFN, Trieste)</w:t>
      </w:r>
    </w:p>
    <w:p w:rsidR="00F533EC" w:rsidRPr="00E03863" w:rsidRDefault="00F533EC" w:rsidP="00F533EC">
      <w:pPr>
        <w:pStyle w:val="ListParagraph"/>
        <w:numPr>
          <w:ilvl w:val="0"/>
          <w:numId w:val="3"/>
        </w:numPr>
        <w:jc w:val="both"/>
      </w:pPr>
      <w:r w:rsidRPr="00E03863">
        <w:t xml:space="preserve">CHAPON, </w:t>
      </w:r>
      <w:r>
        <w:t xml:space="preserve">Damien </w:t>
      </w:r>
      <w:r w:rsidRPr="00E03863">
        <w:t>(</w:t>
      </w:r>
      <w:r w:rsidRPr="00E03863">
        <w:rPr>
          <w:iCs/>
        </w:rPr>
        <w:t>IRFU, CEA, Université Paris-Saclay)</w:t>
      </w:r>
    </w:p>
    <w:p w:rsidR="00F533EC" w:rsidRPr="00E03863" w:rsidRDefault="00F533EC" w:rsidP="00F533EC">
      <w:pPr>
        <w:pStyle w:val="ListParagraph"/>
        <w:numPr>
          <w:ilvl w:val="0"/>
          <w:numId w:val="3"/>
        </w:numPr>
        <w:jc w:val="both"/>
      </w:pPr>
      <w:r w:rsidRPr="00E03863">
        <w:t>DIEHL, Markus</w:t>
      </w:r>
      <w:r>
        <w:t xml:space="preserve"> (DESY)</w:t>
      </w:r>
    </w:p>
    <w:p w:rsidR="00F533EC" w:rsidRDefault="00F533EC" w:rsidP="00F533EC">
      <w:pPr>
        <w:pStyle w:val="ListParagraph"/>
        <w:numPr>
          <w:ilvl w:val="0"/>
          <w:numId w:val="3"/>
        </w:numPr>
        <w:jc w:val="both"/>
      </w:pPr>
      <w:r w:rsidRPr="00E03863">
        <w:t>GLAZOV, Alexander</w:t>
      </w:r>
      <w:r>
        <w:t xml:space="preserve"> (DESY)</w:t>
      </w:r>
    </w:p>
    <w:p w:rsidR="00F533EC" w:rsidRPr="002D6BA2" w:rsidRDefault="00F533EC" w:rsidP="00F533EC">
      <w:pPr>
        <w:pStyle w:val="ListParagraph"/>
        <w:numPr>
          <w:ilvl w:val="0"/>
          <w:numId w:val="3"/>
        </w:numPr>
        <w:jc w:val="both"/>
        <w:rPr>
          <w:lang w:val="en-US"/>
        </w:rPr>
      </w:pPr>
      <w:r w:rsidRPr="002D6BA2">
        <w:rPr>
          <w:lang w:val="en-US"/>
        </w:rPr>
        <w:t>HAUTMANN, Francesco (Rutherford Appleton Laboratory, University of Oxford</w:t>
      </w:r>
      <w:r>
        <w:rPr>
          <w:lang w:val="en-US"/>
        </w:rPr>
        <w:t xml:space="preserve"> and </w:t>
      </w:r>
      <w:proofErr w:type="spellStart"/>
      <w:r w:rsidRPr="002D6BA2">
        <w:rPr>
          <w:lang w:val="en-US"/>
        </w:rPr>
        <w:t>Elementaire</w:t>
      </w:r>
      <w:proofErr w:type="spellEnd"/>
      <w:r w:rsidRPr="002D6BA2">
        <w:rPr>
          <w:lang w:val="en-US"/>
        </w:rPr>
        <w:t xml:space="preserve"> </w:t>
      </w:r>
      <w:proofErr w:type="spellStart"/>
      <w:r w:rsidRPr="002D6BA2">
        <w:rPr>
          <w:lang w:val="en-US"/>
        </w:rPr>
        <w:t>Deeltjes</w:t>
      </w:r>
      <w:proofErr w:type="spellEnd"/>
      <w:r w:rsidRPr="002D6BA2">
        <w:rPr>
          <w:lang w:val="en-US"/>
        </w:rPr>
        <w:t xml:space="preserve"> </w:t>
      </w:r>
      <w:proofErr w:type="spellStart"/>
      <w:r w:rsidRPr="002D6BA2">
        <w:rPr>
          <w:lang w:val="en-US"/>
        </w:rPr>
        <w:t>Fysica</w:t>
      </w:r>
      <w:proofErr w:type="spellEnd"/>
      <w:r w:rsidRPr="002D6BA2">
        <w:rPr>
          <w:lang w:val="en-US"/>
        </w:rPr>
        <w:t xml:space="preserve">, Universiteit </w:t>
      </w:r>
      <w:proofErr w:type="spellStart"/>
      <w:r w:rsidRPr="002D6BA2">
        <w:rPr>
          <w:lang w:val="en-US"/>
        </w:rPr>
        <w:t>Antwerpen</w:t>
      </w:r>
      <w:proofErr w:type="spellEnd"/>
      <w:r w:rsidRPr="002D6BA2">
        <w:rPr>
          <w:lang w:val="en-US"/>
        </w:rPr>
        <w:t>)</w:t>
      </w:r>
    </w:p>
    <w:p w:rsidR="00F533EC" w:rsidRPr="00AA57CB" w:rsidRDefault="00F533EC" w:rsidP="00F533EC">
      <w:pPr>
        <w:pStyle w:val="ListParagraph"/>
        <w:numPr>
          <w:ilvl w:val="0"/>
          <w:numId w:val="3"/>
        </w:numPr>
        <w:jc w:val="both"/>
      </w:pPr>
      <w:r w:rsidRPr="00E03863">
        <w:t>PASQUINI, Barbara</w:t>
      </w:r>
      <w:r>
        <w:t xml:space="preserve"> (INFN, </w:t>
      </w:r>
      <w:proofErr w:type="spellStart"/>
      <w:r w:rsidRPr="002D6BA2">
        <w:rPr>
          <w:bCs/>
        </w:rPr>
        <w:t>Università</w:t>
      </w:r>
      <w:proofErr w:type="spellEnd"/>
      <w:r w:rsidRPr="002D6BA2">
        <w:rPr>
          <w:bCs/>
        </w:rPr>
        <w:t xml:space="preserve"> Di </w:t>
      </w:r>
      <w:proofErr w:type="spellStart"/>
      <w:r w:rsidRPr="002D6BA2">
        <w:rPr>
          <w:bCs/>
        </w:rPr>
        <w:t>Pavia</w:t>
      </w:r>
      <w:proofErr w:type="spellEnd"/>
      <w:r>
        <w:rPr>
          <w:bCs/>
        </w:rPr>
        <w:t>)</w:t>
      </w:r>
    </w:p>
    <w:p w:rsidR="003E7374" w:rsidRPr="00F533EC" w:rsidRDefault="00F533EC" w:rsidP="00B637D6">
      <w:pPr>
        <w:pStyle w:val="ListParagraph"/>
        <w:numPr>
          <w:ilvl w:val="0"/>
          <w:numId w:val="3"/>
        </w:numPr>
        <w:jc w:val="both"/>
        <w:rPr>
          <w:lang w:val="en-US"/>
        </w:rPr>
      </w:pPr>
      <w:r w:rsidRPr="00AA57CB">
        <w:rPr>
          <w:lang w:val="en-US"/>
        </w:rPr>
        <w:t>SOKHAN, Daria (</w:t>
      </w:r>
      <w:r w:rsidRPr="00AA57CB">
        <w:rPr>
          <w:iCs/>
          <w:lang w:val="en-US"/>
        </w:rPr>
        <w:t>IRFU, CEA, Université Paris-</w:t>
      </w:r>
      <w:proofErr w:type="spellStart"/>
      <w:r w:rsidRPr="00AA57CB">
        <w:rPr>
          <w:iCs/>
          <w:lang w:val="en-US"/>
        </w:rPr>
        <w:t>Saclay</w:t>
      </w:r>
      <w:proofErr w:type="spellEnd"/>
      <w:r w:rsidRPr="00AA57CB">
        <w:rPr>
          <w:lang w:val="en-US"/>
        </w:rPr>
        <w:t xml:space="preserve"> </w:t>
      </w:r>
      <w:r>
        <w:rPr>
          <w:lang w:val="en-US"/>
        </w:rPr>
        <w:t xml:space="preserve">and </w:t>
      </w:r>
      <w:r w:rsidRPr="00AA57CB">
        <w:rPr>
          <w:lang w:val="en-US"/>
        </w:rPr>
        <w:t>University of Glasgow)</w:t>
      </w:r>
    </w:p>
    <w:p w:rsidR="00045C2F" w:rsidRDefault="00045C2F" w:rsidP="006532BD">
      <w:pPr>
        <w:pStyle w:val="Heading2"/>
        <w:rPr>
          <w:lang w:val="en-US"/>
        </w:rPr>
      </w:pPr>
    </w:p>
    <w:p w:rsidR="00700CE2" w:rsidRPr="00700CE2" w:rsidRDefault="006432E1" w:rsidP="006532BD">
      <w:pPr>
        <w:pStyle w:val="Heading2"/>
        <w:rPr>
          <w:lang w:val="en-US"/>
        </w:rPr>
      </w:pPr>
      <w:r>
        <w:rPr>
          <w:lang w:val="en-US"/>
        </w:rPr>
        <w:t>2.2</w:t>
      </w:r>
      <w:r w:rsidR="006532BD">
        <w:rPr>
          <w:lang w:val="en-US"/>
        </w:rPr>
        <w:t xml:space="preserve"> </w:t>
      </w:r>
      <w:r w:rsidR="00151F0A">
        <w:rPr>
          <w:lang w:val="en-US"/>
        </w:rPr>
        <w:t>I</w:t>
      </w:r>
      <w:r w:rsidR="00151F0A" w:rsidRPr="00151F0A">
        <w:rPr>
          <w:lang w:val="en-US"/>
        </w:rPr>
        <w:t xml:space="preserve">nternational </w:t>
      </w:r>
      <w:r w:rsidR="00106227" w:rsidRPr="00151F0A">
        <w:rPr>
          <w:lang w:val="en-US"/>
        </w:rPr>
        <w:t xml:space="preserve">Assessment Board </w:t>
      </w:r>
      <w:r w:rsidR="00106227" w:rsidRPr="006532BD">
        <w:rPr>
          <w:lang w:val="en-US"/>
        </w:rPr>
        <w:t>Meetings</w:t>
      </w:r>
    </w:p>
    <w:p w:rsidR="00045C2F" w:rsidRDefault="00045C2F" w:rsidP="007B68E9">
      <w:pPr>
        <w:jc w:val="both"/>
        <w:rPr>
          <w:lang w:val="en-US"/>
        </w:rPr>
      </w:pPr>
    </w:p>
    <w:p w:rsidR="00BA39DA" w:rsidRDefault="00F533EC" w:rsidP="007B68E9">
      <w:pPr>
        <w:jc w:val="both"/>
        <w:rPr>
          <w:lang w:val="en-US"/>
        </w:rPr>
      </w:pPr>
      <w:r>
        <w:rPr>
          <w:lang w:val="en-US"/>
        </w:rPr>
        <w:t xml:space="preserve">One </w:t>
      </w:r>
      <w:r w:rsidR="00BA39DA">
        <w:rPr>
          <w:lang w:val="en-US"/>
        </w:rPr>
        <w:t xml:space="preserve">IAB </w:t>
      </w:r>
      <w:r>
        <w:rPr>
          <w:lang w:val="en-US"/>
        </w:rPr>
        <w:t>meeting took place in the reference period, specifically on February the 2</w:t>
      </w:r>
      <w:r w:rsidRPr="00F533EC">
        <w:rPr>
          <w:vertAlign w:val="superscript"/>
          <w:lang w:val="en-US"/>
        </w:rPr>
        <w:t>nd</w:t>
      </w:r>
      <w:r>
        <w:rPr>
          <w:lang w:val="en-US"/>
        </w:rPr>
        <w:t xml:space="preserve"> 2023. The spokesperson of VA2 </w:t>
      </w:r>
      <w:r w:rsidR="00D07199">
        <w:rPr>
          <w:lang w:val="en-US"/>
        </w:rPr>
        <w:t>gave</w:t>
      </w:r>
      <w:r>
        <w:rPr>
          <w:lang w:val="en-US"/>
        </w:rPr>
        <w:t xml:space="preserve"> a detailed overview </w:t>
      </w:r>
      <w:r w:rsidR="00D07199">
        <w:rPr>
          <w:lang w:val="en-US"/>
        </w:rPr>
        <w:t>of the work package presenting the latest achievements both in terms of physical results and code developments. The experts provided</w:t>
      </w:r>
      <w:r w:rsidR="00BA39DA">
        <w:rPr>
          <w:lang w:val="en-US"/>
        </w:rPr>
        <w:t xml:space="preserve"> feedback </w:t>
      </w:r>
      <w:r w:rsidR="00D07199">
        <w:rPr>
          <w:lang w:val="en-US"/>
        </w:rPr>
        <w:t xml:space="preserve">in the form of comments and suggestions that were recorded in a set of minutes. The meeting was also </w:t>
      </w:r>
      <w:r w:rsidR="00BA39DA">
        <w:rPr>
          <w:lang w:val="en-US"/>
        </w:rPr>
        <w:t xml:space="preserve">video </w:t>
      </w:r>
      <w:r w:rsidR="00D07199">
        <w:rPr>
          <w:lang w:val="en-US"/>
        </w:rPr>
        <w:t>recoded for future reference.</w:t>
      </w:r>
    </w:p>
    <w:p w:rsidR="00700CE2" w:rsidRDefault="009E685A" w:rsidP="00650711">
      <w:pPr>
        <w:pStyle w:val="Heading1"/>
        <w:numPr>
          <w:ilvl w:val="0"/>
          <w:numId w:val="2"/>
        </w:numPr>
        <w:ind w:left="0" w:firstLine="0"/>
        <w:rPr>
          <w:lang w:val="en-US"/>
        </w:rPr>
      </w:pPr>
      <w:r>
        <w:rPr>
          <w:lang w:val="en-US"/>
        </w:rPr>
        <w:t>Virtual</w:t>
      </w:r>
      <w:r w:rsidR="00724685" w:rsidRPr="00724685">
        <w:rPr>
          <w:lang w:val="en-US"/>
        </w:rPr>
        <w:t xml:space="preserve"> Access activity during the reporting period</w:t>
      </w:r>
    </w:p>
    <w:p w:rsidR="00FB50CF" w:rsidRPr="00FB50CF" w:rsidRDefault="00FB50CF" w:rsidP="00FB50CF">
      <w:pPr>
        <w:rPr>
          <w:lang w:val="en-US"/>
        </w:rPr>
      </w:pPr>
    </w:p>
    <w:p w:rsidR="00650711" w:rsidRPr="00650711" w:rsidRDefault="00650711" w:rsidP="00650711">
      <w:pPr>
        <w:pStyle w:val="Heading2"/>
        <w:rPr>
          <w:lang w:val="en-US"/>
        </w:rPr>
      </w:pPr>
      <w:r>
        <w:rPr>
          <w:lang w:val="en-US"/>
        </w:rPr>
        <w:t>3.1 Detailed description of the activity</w:t>
      </w:r>
    </w:p>
    <w:p w:rsidR="00045C2F" w:rsidRDefault="00045C2F" w:rsidP="007B68E9">
      <w:pPr>
        <w:jc w:val="both"/>
        <w:rPr>
          <w:lang w:val="en-US"/>
        </w:rPr>
      </w:pPr>
    </w:p>
    <w:p w:rsidR="007B68E9" w:rsidRDefault="00BA39DA" w:rsidP="007B68E9">
      <w:pPr>
        <w:jc w:val="both"/>
        <w:rPr>
          <w:lang w:val="en-US"/>
        </w:rPr>
      </w:pPr>
      <w:r>
        <w:rPr>
          <w:lang w:val="en-US"/>
        </w:rPr>
        <w:t>In the GPD domain</w:t>
      </w:r>
      <w:r>
        <w:rPr>
          <w:lang w:val="en-US"/>
        </w:rPr>
        <w:t xml:space="preserve">, </w:t>
      </w:r>
      <w:r w:rsidR="007B68E9">
        <w:rPr>
          <w:lang w:val="en-US"/>
        </w:rPr>
        <w:t>PARTONS</w:t>
      </w:r>
      <w:r>
        <w:rPr>
          <w:lang w:val="en-US"/>
        </w:rPr>
        <w:t xml:space="preserve"> </w:t>
      </w:r>
      <w:r w:rsidR="007B68E9">
        <w:rPr>
          <w:lang w:val="en-US"/>
        </w:rPr>
        <w:t>v</w:t>
      </w:r>
      <w:r w:rsidR="007B68E9">
        <w:rPr>
          <w:lang w:val="en-US"/>
        </w:rPr>
        <w:t>4</w:t>
      </w:r>
      <w:r w:rsidR="007B68E9">
        <w:rPr>
          <w:lang w:val="en-US"/>
        </w:rPr>
        <w:t xml:space="preserve"> was released on </w:t>
      </w:r>
      <w:r w:rsidR="007B68E9">
        <w:rPr>
          <w:lang w:val="en-US"/>
        </w:rPr>
        <w:t>July</w:t>
      </w:r>
      <w:r w:rsidR="007B68E9">
        <w:rPr>
          <w:lang w:val="en-US"/>
        </w:rPr>
        <w:t xml:space="preserve"> 202</w:t>
      </w:r>
      <w:r w:rsidR="007B68E9">
        <w:rPr>
          <w:lang w:val="en-US"/>
        </w:rPr>
        <w:t>4</w:t>
      </w:r>
      <w:r w:rsidR="007B68E9">
        <w:rPr>
          <w:lang w:val="en-US"/>
        </w:rPr>
        <w:t>. It contains new observables</w:t>
      </w:r>
      <w:r w:rsidR="007B68E9">
        <w:rPr>
          <w:lang w:val="en-US"/>
        </w:rPr>
        <w:t xml:space="preserve"> and new GPD models</w:t>
      </w:r>
      <w:r w:rsidR="007B68E9">
        <w:rPr>
          <w:lang w:val="en-US"/>
        </w:rPr>
        <w:t xml:space="preserve">. The Monte Carlo </w:t>
      </w:r>
      <w:r w:rsidR="00337B21">
        <w:rPr>
          <w:lang w:val="en-US"/>
        </w:rPr>
        <w:t xml:space="preserve">general purpose </w:t>
      </w:r>
      <w:r w:rsidR="007B68E9">
        <w:rPr>
          <w:lang w:val="en-US"/>
        </w:rPr>
        <w:t xml:space="preserve">event generator for exclusive processes </w:t>
      </w:r>
      <w:proofErr w:type="spellStart"/>
      <w:r w:rsidR="007B68E9">
        <w:rPr>
          <w:lang w:val="en-US"/>
        </w:rPr>
        <w:t>EpIC</w:t>
      </w:r>
      <w:proofErr w:type="spellEnd"/>
      <w:r w:rsidR="007B68E9">
        <w:rPr>
          <w:lang w:val="en-US"/>
        </w:rPr>
        <w:t xml:space="preserve"> was developed in order to be fully compatible with PARTONS: each exclusive channel provided by PARTONS </w:t>
      </w:r>
      <w:r w:rsidR="00337B21">
        <w:rPr>
          <w:lang w:val="en-US"/>
        </w:rPr>
        <w:t xml:space="preserve">can potentially </w:t>
      </w:r>
      <w:proofErr w:type="spellStart"/>
      <w:r w:rsidR="00337B21">
        <w:rPr>
          <w:lang w:val="en-US"/>
        </w:rPr>
        <w:t>be</w:t>
      </w:r>
      <w:r w:rsidR="007B68E9">
        <w:rPr>
          <w:lang w:val="en-US"/>
        </w:rPr>
        <w:t xml:space="preserve"> used</w:t>
      </w:r>
      <w:proofErr w:type="spellEnd"/>
      <w:r w:rsidR="007B68E9">
        <w:rPr>
          <w:lang w:val="en-US"/>
        </w:rPr>
        <w:t xml:space="preserve"> for event generation in </w:t>
      </w:r>
      <w:proofErr w:type="spellStart"/>
      <w:r w:rsidR="007B68E9">
        <w:rPr>
          <w:lang w:val="en-US"/>
        </w:rPr>
        <w:t>EpIC</w:t>
      </w:r>
      <w:proofErr w:type="spellEnd"/>
      <w:r w:rsidR="007B68E9">
        <w:rPr>
          <w:lang w:val="en-US"/>
        </w:rPr>
        <w:t xml:space="preserve">, </w:t>
      </w:r>
      <w:r w:rsidR="00337B21">
        <w:rPr>
          <w:lang w:val="en-US"/>
        </w:rPr>
        <w:t>along with</w:t>
      </w:r>
      <w:r w:rsidR="007B68E9">
        <w:rPr>
          <w:lang w:val="en-US"/>
        </w:rPr>
        <w:t xml:space="preserve"> the selection of various computing assumptions (GPD models, higher</w:t>
      </w:r>
      <w:r w:rsidR="00337B21">
        <w:rPr>
          <w:lang w:val="en-US"/>
        </w:rPr>
        <w:t>-</w:t>
      </w:r>
      <w:r w:rsidR="007B68E9">
        <w:rPr>
          <w:lang w:val="en-US"/>
        </w:rPr>
        <w:t xml:space="preserve">order corrections, etc.). </w:t>
      </w:r>
      <w:proofErr w:type="spellStart"/>
      <w:r w:rsidR="007B68E9">
        <w:rPr>
          <w:lang w:val="en-US"/>
        </w:rPr>
        <w:t>EpIC</w:t>
      </w:r>
      <w:proofErr w:type="spellEnd"/>
      <w:r w:rsidR="00337B21">
        <w:rPr>
          <w:lang w:val="en-US"/>
        </w:rPr>
        <w:t xml:space="preserve"> has been publicly released and is available from</w:t>
      </w:r>
      <w:r>
        <w:rPr>
          <w:lang w:val="en-US"/>
        </w:rPr>
        <w:t>:</w:t>
      </w:r>
      <w:r w:rsidR="00337B21">
        <w:rPr>
          <w:lang w:val="en-US"/>
        </w:rPr>
        <w:t xml:space="preserve"> </w:t>
      </w:r>
      <w:hyperlink r:id="rId11" w:history="1">
        <w:r w:rsidR="00337B21" w:rsidRPr="00A64EEA">
          <w:rPr>
            <w:rStyle w:val="Hyperlink"/>
            <w:lang w:val="en-US"/>
          </w:rPr>
          <w:t>https://github.com/pawelsznajder/epic</w:t>
        </w:r>
      </w:hyperlink>
      <w:r>
        <w:rPr>
          <w:lang w:val="en-US"/>
        </w:rPr>
        <w:t>.</w:t>
      </w:r>
    </w:p>
    <w:p w:rsidR="00BA39DA" w:rsidRDefault="00BA39DA" w:rsidP="007B68E9">
      <w:pPr>
        <w:jc w:val="both"/>
        <w:rPr>
          <w:lang w:val="en-US"/>
        </w:rPr>
      </w:pPr>
    </w:p>
    <w:p w:rsidR="00BA39DA" w:rsidRDefault="007B68E9" w:rsidP="007B68E9">
      <w:pPr>
        <w:jc w:val="both"/>
        <w:rPr>
          <w:lang w:val="en-US"/>
        </w:rPr>
      </w:pPr>
      <w:r>
        <w:rPr>
          <w:lang w:val="en-US"/>
        </w:rPr>
        <w:t xml:space="preserve">In the </w:t>
      </w:r>
      <w:r w:rsidR="00337B21">
        <w:rPr>
          <w:lang w:val="en-US"/>
        </w:rPr>
        <w:t>collinear distribution</w:t>
      </w:r>
      <w:r>
        <w:rPr>
          <w:lang w:val="en-US"/>
        </w:rPr>
        <w:t xml:space="preserve"> domain, the </w:t>
      </w:r>
      <w:r w:rsidR="00337B21">
        <w:rPr>
          <w:lang w:val="en-US"/>
        </w:rPr>
        <w:t>Denali</w:t>
      </w:r>
      <w:r>
        <w:rPr>
          <w:lang w:val="en-US"/>
        </w:rPr>
        <w:t xml:space="preserve"> code</w:t>
      </w:r>
      <w:r w:rsidR="00337B21">
        <w:rPr>
          <w:lang w:val="en-US"/>
        </w:rPr>
        <w:t xml:space="preserve"> was publicly released (</w:t>
      </w:r>
      <w:hyperlink r:id="rId12" w:history="1">
        <w:r w:rsidR="00337B21" w:rsidRPr="00A64EEA">
          <w:rPr>
            <w:rStyle w:val="Hyperlink"/>
            <w:lang w:val="en-US"/>
          </w:rPr>
          <w:t>https://github.com/MapCollaboration/Denali</w:t>
        </w:r>
      </w:hyperlink>
      <w:r w:rsidR="00337B21">
        <w:rPr>
          <w:lang w:val="en-US"/>
        </w:rPr>
        <w:t>). This code is devoted to the extraction of longitudinally polarized PDFs</w:t>
      </w:r>
      <w:r>
        <w:rPr>
          <w:lang w:val="en-US"/>
        </w:rPr>
        <w:t xml:space="preserve"> </w:t>
      </w:r>
      <w:r w:rsidR="00337B21">
        <w:rPr>
          <w:lang w:val="en-US"/>
        </w:rPr>
        <w:t xml:space="preserve">and has been </w:t>
      </w:r>
      <w:r>
        <w:rPr>
          <w:lang w:val="en-US"/>
        </w:rPr>
        <w:t xml:space="preserve">used for </w:t>
      </w:r>
      <w:r w:rsidR="00337B21">
        <w:rPr>
          <w:lang w:val="en-US"/>
        </w:rPr>
        <w:t xml:space="preserve">a determination </w:t>
      </w:r>
      <w:r w:rsidR="00BA39DA">
        <w:rPr>
          <w:lang w:val="en-US"/>
        </w:rPr>
        <w:t xml:space="preserve">of </w:t>
      </w:r>
      <w:r w:rsidR="00337B21">
        <w:rPr>
          <w:lang w:val="en-US"/>
        </w:rPr>
        <w:t>these quantities that was made available through the LHAPDF interface</w:t>
      </w:r>
      <w:r>
        <w:rPr>
          <w:lang w:val="en-US"/>
        </w:rPr>
        <w:t xml:space="preserve">. </w:t>
      </w:r>
    </w:p>
    <w:p w:rsidR="00BA39DA" w:rsidRDefault="00BA39DA" w:rsidP="007B68E9">
      <w:pPr>
        <w:jc w:val="both"/>
        <w:rPr>
          <w:lang w:val="en-US"/>
        </w:rPr>
      </w:pPr>
    </w:p>
    <w:p w:rsidR="007B68E9" w:rsidRDefault="007B68E9" w:rsidP="007B68E9">
      <w:pPr>
        <w:jc w:val="both"/>
        <w:rPr>
          <w:lang w:val="en-US"/>
        </w:rPr>
      </w:pPr>
      <w:r>
        <w:rPr>
          <w:lang w:val="en-US"/>
        </w:rPr>
        <w:t xml:space="preserve">The </w:t>
      </w:r>
      <w:r w:rsidR="00337B21">
        <w:rPr>
          <w:lang w:val="en-US"/>
        </w:rPr>
        <w:t xml:space="preserve">TMD </w:t>
      </w:r>
      <w:r>
        <w:rPr>
          <w:lang w:val="en-US"/>
        </w:rPr>
        <w:t xml:space="preserve">fitting framework </w:t>
      </w:r>
      <w:proofErr w:type="spellStart"/>
      <w:r>
        <w:rPr>
          <w:lang w:val="en-US"/>
        </w:rPr>
        <w:t>NangaParbat</w:t>
      </w:r>
      <w:proofErr w:type="spellEnd"/>
      <w:r>
        <w:rPr>
          <w:lang w:val="en-US"/>
        </w:rPr>
        <w:t xml:space="preserve"> was </w:t>
      </w:r>
      <w:r w:rsidR="00337B21">
        <w:rPr>
          <w:lang w:val="en-US"/>
        </w:rPr>
        <w:t xml:space="preserve">updated to include the possibility of determining </w:t>
      </w:r>
      <w:r w:rsidR="00BA39DA">
        <w:rPr>
          <w:lang w:val="en-US"/>
        </w:rPr>
        <w:t xml:space="preserve">the </w:t>
      </w:r>
      <w:r w:rsidR="00A55A23">
        <w:rPr>
          <w:lang w:val="en-US"/>
        </w:rPr>
        <w:t>flavor</w:t>
      </w:r>
      <w:r w:rsidR="00337B21">
        <w:rPr>
          <w:lang w:val="en-US"/>
        </w:rPr>
        <w:t xml:space="preserve"> dependence of TMDs</w:t>
      </w:r>
      <w:r>
        <w:rPr>
          <w:lang w:val="en-US"/>
        </w:rPr>
        <w:t>.</w:t>
      </w:r>
      <w:r w:rsidR="00337B21">
        <w:rPr>
          <w:lang w:val="en-US"/>
        </w:rPr>
        <w:t xml:space="preserve"> This resulted in a publication and the resulting TMDs are released in the TMDlib2 format.</w:t>
      </w:r>
    </w:p>
    <w:p w:rsidR="00BA39DA" w:rsidRDefault="00BA39DA" w:rsidP="007B68E9">
      <w:pPr>
        <w:jc w:val="both"/>
        <w:rPr>
          <w:lang w:val="en-US"/>
        </w:rPr>
      </w:pPr>
    </w:p>
    <w:p w:rsidR="00337B21" w:rsidRDefault="00337B21" w:rsidP="007B68E9">
      <w:pPr>
        <w:jc w:val="both"/>
        <w:rPr>
          <w:lang w:val="en-US"/>
        </w:rPr>
      </w:pPr>
      <w:r>
        <w:rPr>
          <w:lang w:val="en-US"/>
        </w:rPr>
        <w:t xml:space="preserve">The family of codes belonging to the 3DPartons family </w:t>
      </w:r>
      <w:r w:rsidR="00A55A23">
        <w:rPr>
          <w:lang w:val="en-US"/>
        </w:rPr>
        <w:t>prove</w:t>
      </w:r>
      <w:r w:rsidR="00BA39DA">
        <w:rPr>
          <w:lang w:val="en-US"/>
        </w:rPr>
        <w:t>d</w:t>
      </w:r>
      <w:r w:rsidR="00A55A23">
        <w:rPr>
          <w:lang w:val="en-US"/>
        </w:rPr>
        <w:t xml:space="preserve"> its capacity to interoperate in a recent study of GTMDs. Indeed, these objects are generalization</w:t>
      </w:r>
      <w:r w:rsidR="00BA39DA">
        <w:rPr>
          <w:lang w:val="en-US"/>
        </w:rPr>
        <w:t>s</w:t>
      </w:r>
      <w:r w:rsidR="00A55A23">
        <w:rPr>
          <w:lang w:val="en-US"/>
        </w:rPr>
        <w:t xml:space="preserve"> </w:t>
      </w:r>
      <w:r w:rsidR="00A55A23">
        <w:rPr>
          <w:lang w:val="en-US"/>
        </w:rPr>
        <w:t xml:space="preserve">of both GPDs and TMDs, which are in turn generalizations of PDFs. In this context, a first model-independent </w:t>
      </w:r>
      <w:r w:rsidR="00A55A23">
        <w:rPr>
          <w:lang w:val="en-US"/>
        </w:rPr>
        <w:lastRenderedPageBreak/>
        <w:t xml:space="preserve">determination of GTMDs including radiative corrections has been achieved using a compound of codes that includes PARTONS, </w:t>
      </w:r>
      <w:proofErr w:type="spellStart"/>
      <w:r w:rsidR="00A55A23">
        <w:rPr>
          <w:lang w:val="en-US"/>
        </w:rPr>
        <w:t>NangaParbat</w:t>
      </w:r>
      <w:proofErr w:type="spellEnd"/>
      <w:r w:rsidR="00A55A23">
        <w:rPr>
          <w:lang w:val="en-US"/>
        </w:rPr>
        <w:t>, APFEL++, and LHAPDF.</w:t>
      </w:r>
    </w:p>
    <w:p w:rsidR="00BA39DA" w:rsidRDefault="00BA39DA" w:rsidP="007B68E9">
      <w:pPr>
        <w:jc w:val="both"/>
        <w:rPr>
          <w:lang w:val="en-US"/>
        </w:rPr>
      </w:pPr>
    </w:p>
    <w:p w:rsidR="00BA39DA" w:rsidRDefault="00A55A23" w:rsidP="007B68E9">
      <w:pPr>
        <w:jc w:val="both"/>
        <w:rPr>
          <w:color w:val="000000" w:themeColor="text1"/>
          <w:shd w:val="clear" w:color="auto" w:fill="FFFFFF"/>
          <w:lang w:val="en-US"/>
        </w:rPr>
      </w:pPr>
      <w:r w:rsidRPr="00BA39DA">
        <w:rPr>
          <w:lang w:val="en-US"/>
        </w:rPr>
        <w:t>As mentioned above, an in-</w:t>
      </w:r>
      <w:r w:rsidRPr="00BA39DA">
        <w:rPr>
          <w:color w:val="000000" w:themeColor="text1"/>
          <w:lang w:val="en-US"/>
        </w:rPr>
        <w:t xml:space="preserve">person workshop devoted to </w:t>
      </w:r>
      <w:r w:rsidRPr="00BA39DA">
        <w:rPr>
          <w:color w:val="000000" w:themeColor="text1"/>
          <w:shd w:val="clear" w:color="auto" w:fill="FFFFFF"/>
          <w:lang w:val="en-US"/>
        </w:rPr>
        <w:t xml:space="preserve">3DPartons </w:t>
      </w:r>
      <w:r w:rsidRPr="00BA39DA">
        <w:rPr>
          <w:color w:val="000000" w:themeColor="text1"/>
          <w:shd w:val="clear" w:color="auto" w:fill="FFFFFF"/>
          <w:lang w:val="en-US"/>
        </w:rPr>
        <w:t>has been held in the Paris area</w:t>
      </w:r>
      <w:r w:rsidR="00BF598B" w:rsidRPr="00BA39DA">
        <w:rPr>
          <w:color w:val="000000" w:themeColor="text1"/>
          <w:shd w:val="clear" w:color="auto" w:fill="FFFFFF"/>
          <w:lang w:val="en-US"/>
        </w:rPr>
        <w:t xml:space="preserve"> </w:t>
      </w:r>
      <w:r w:rsidR="00BA39DA">
        <w:rPr>
          <w:color w:val="000000" w:themeColor="text1"/>
          <w:shd w:val="clear" w:color="auto" w:fill="FFFFFF"/>
          <w:lang w:val="en-US"/>
        </w:rPr>
        <w:t xml:space="preserve">in October 2022 </w:t>
      </w:r>
      <w:r w:rsidR="00BF598B" w:rsidRPr="00BA39DA">
        <w:rPr>
          <w:color w:val="000000" w:themeColor="text1"/>
          <w:shd w:val="clear" w:color="auto" w:fill="FFFFFF"/>
          <w:lang w:val="en-US"/>
        </w:rPr>
        <w:t>(</w:t>
      </w:r>
      <w:r w:rsidR="00BF598B" w:rsidRPr="00BA39DA">
        <w:rPr>
          <w:lang w:val="en-US"/>
        </w:rPr>
        <w:t>https://indico.cern.ch/event/1175276/overview</w:t>
      </w:r>
      <w:r w:rsidR="00BF598B" w:rsidRPr="00BA39DA">
        <w:rPr>
          <w:color w:val="000000" w:themeColor="text1"/>
          <w:shd w:val="clear" w:color="auto" w:fill="FFFFFF"/>
          <w:lang w:val="en-US"/>
        </w:rPr>
        <w:t>)</w:t>
      </w:r>
      <w:r w:rsidRPr="00BA39DA">
        <w:rPr>
          <w:color w:val="000000" w:themeColor="text1"/>
          <w:shd w:val="clear" w:color="auto" w:fill="FFFFFF"/>
          <w:lang w:val="en-US"/>
        </w:rPr>
        <w:t xml:space="preserve">. </w:t>
      </w:r>
      <w:r w:rsidR="00BF598B" w:rsidRPr="00BA39DA">
        <w:rPr>
          <w:color w:val="000000" w:themeColor="text1"/>
          <w:shd w:val="clear" w:color="auto" w:fill="FFFFFF"/>
          <w:lang w:val="en-US"/>
        </w:rPr>
        <w:t xml:space="preserve">This workshop gathered many experts </w:t>
      </w:r>
      <w:r w:rsidR="00BA39DA">
        <w:rPr>
          <w:color w:val="000000" w:themeColor="text1"/>
          <w:shd w:val="clear" w:color="auto" w:fill="FFFFFF"/>
          <w:lang w:val="en-US"/>
        </w:rPr>
        <w:t>from</w:t>
      </w:r>
      <w:r w:rsidR="00BF598B" w:rsidRPr="00BA39DA">
        <w:rPr>
          <w:color w:val="000000" w:themeColor="text1"/>
          <w:shd w:val="clear" w:color="auto" w:fill="FFFFFF"/>
          <w:lang w:val="en-US"/>
        </w:rPr>
        <w:t xml:space="preserve"> different field</w:t>
      </w:r>
      <w:r w:rsidR="00BA39DA">
        <w:rPr>
          <w:color w:val="000000" w:themeColor="text1"/>
          <w:shd w:val="clear" w:color="auto" w:fill="FFFFFF"/>
          <w:lang w:val="en-US"/>
        </w:rPr>
        <w:t>s</w:t>
      </w:r>
      <w:r w:rsidR="00BF598B" w:rsidRPr="00BA39DA">
        <w:rPr>
          <w:color w:val="000000" w:themeColor="text1"/>
          <w:shd w:val="clear" w:color="auto" w:fill="FFFFFF"/>
          <w:lang w:val="en-US"/>
        </w:rPr>
        <w:t xml:space="preserve"> of QCD and hadronic structure with the purpose of advancing our understanding of the 3D structure of hadrons. The participants shared their </w:t>
      </w:r>
      <w:r w:rsidR="00BF598B" w:rsidRPr="00BA39DA">
        <w:rPr>
          <w:color w:val="000000" w:themeColor="text1"/>
          <w:shd w:val="clear" w:color="auto" w:fill="FFFFFF"/>
          <w:lang w:val="en-US"/>
        </w:rPr>
        <w:t>knowledge and know-how about scientific and technical problems related to GPD</w:t>
      </w:r>
      <w:r w:rsidR="00BF598B" w:rsidRPr="00BA39DA">
        <w:rPr>
          <w:color w:val="000000" w:themeColor="text1"/>
          <w:shd w:val="clear" w:color="auto" w:fill="FFFFFF"/>
          <w:lang w:val="en-US"/>
        </w:rPr>
        <w:t>s</w:t>
      </w:r>
      <w:r w:rsidR="00BF598B" w:rsidRPr="00BA39DA">
        <w:rPr>
          <w:color w:val="000000" w:themeColor="text1"/>
          <w:shd w:val="clear" w:color="auto" w:fill="FFFFFF"/>
          <w:lang w:val="en-US"/>
        </w:rPr>
        <w:t xml:space="preserve"> and TMD</w:t>
      </w:r>
      <w:r w:rsidR="00BF598B" w:rsidRPr="00BA39DA">
        <w:rPr>
          <w:color w:val="000000" w:themeColor="text1"/>
          <w:shd w:val="clear" w:color="auto" w:fill="FFFFFF"/>
          <w:lang w:val="en-US"/>
        </w:rPr>
        <w:t>s</w:t>
      </w:r>
      <w:r w:rsidR="00D83376">
        <w:rPr>
          <w:color w:val="000000" w:themeColor="text1"/>
          <w:shd w:val="clear" w:color="auto" w:fill="FFFFFF"/>
          <w:lang w:val="en-US"/>
        </w:rPr>
        <w:t>. T</w:t>
      </w:r>
      <w:r w:rsidR="00BF598B" w:rsidRPr="00BA39DA">
        <w:rPr>
          <w:color w:val="000000" w:themeColor="text1"/>
          <w:shd w:val="clear" w:color="auto" w:fill="FFFFFF"/>
          <w:lang w:val="en-US"/>
        </w:rPr>
        <w:t>he 3DPartons framework</w:t>
      </w:r>
      <w:r w:rsidR="00D83376">
        <w:rPr>
          <w:color w:val="000000" w:themeColor="text1"/>
          <w:shd w:val="clear" w:color="auto" w:fill="FFFFFF"/>
          <w:lang w:val="en-US"/>
        </w:rPr>
        <w:t xml:space="preserve"> was</w:t>
      </w:r>
      <w:r w:rsidR="00BF598B" w:rsidRPr="00BA39DA">
        <w:rPr>
          <w:color w:val="000000" w:themeColor="text1"/>
          <w:shd w:val="clear" w:color="auto" w:fill="FFFFFF"/>
          <w:lang w:val="en-US"/>
        </w:rPr>
        <w:t xml:space="preserve"> </w:t>
      </w:r>
      <w:r w:rsidR="00D83376">
        <w:rPr>
          <w:color w:val="000000" w:themeColor="text1"/>
          <w:shd w:val="clear" w:color="auto" w:fill="FFFFFF"/>
          <w:lang w:val="en-US"/>
        </w:rPr>
        <w:t xml:space="preserve">central in many discussions </w:t>
      </w:r>
      <w:r w:rsidR="00BF598B" w:rsidRPr="00BA39DA">
        <w:rPr>
          <w:color w:val="000000" w:themeColor="text1"/>
          <w:shd w:val="clear" w:color="auto" w:fill="FFFFFF"/>
          <w:lang w:val="en-US"/>
        </w:rPr>
        <w:t xml:space="preserve">but </w:t>
      </w:r>
      <w:r w:rsidR="00C83755">
        <w:rPr>
          <w:color w:val="000000" w:themeColor="text1"/>
          <w:shd w:val="clear" w:color="auto" w:fill="FFFFFF"/>
          <w:lang w:val="en-US"/>
        </w:rPr>
        <w:t>many other implications were also discussed.</w:t>
      </w:r>
    </w:p>
    <w:p w:rsidR="00C83755" w:rsidRPr="00BA39DA" w:rsidRDefault="00C83755" w:rsidP="007B68E9">
      <w:pPr>
        <w:jc w:val="both"/>
        <w:rPr>
          <w:color w:val="000000" w:themeColor="text1"/>
          <w:shd w:val="clear" w:color="auto" w:fill="FFFFFF"/>
          <w:lang w:val="en-US"/>
        </w:rPr>
      </w:pPr>
    </w:p>
    <w:p w:rsidR="000F34DD" w:rsidRPr="00EA7396" w:rsidRDefault="007B68E9" w:rsidP="00EA7396">
      <w:pPr>
        <w:jc w:val="both"/>
        <w:rPr>
          <w:rFonts w:asciiTheme="minorHAnsi" w:hAnsiTheme="minorHAnsi" w:cstheme="minorBidi"/>
          <w:sz w:val="22"/>
          <w:lang w:val="en-US"/>
        </w:rPr>
      </w:pPr>
      <w:r>
        <w:rPr>
          <w:lang w:val="en-US"/>
        </w:rPr>
        <w:t>Google Analytics has been replaced by the GDPR</w:t>
      </w:r>
      <w:r>
        <w:rPr>
          <w:rStyle w:val="FootnoteReference"/>
          <w:lang w:val="en-US"/>
        </w:rPr>
        <w:footnoteReference w:id="1"/>
      </w:r>
      <w:r>
        <w:rPr>
          <w:lang w:val="en-US"/>
        </w:rPr>
        <w:t xml:space="preserve">-compliant alternative </w:t>
      </w:r>
      <w:proofErr w:type="spellStart"/>
      <w:r>
        <w:rPr>
          <w:lang w:val="en-US"/>
        </w:rPr>
        <w:t>Piwik</w:t>
      </w:r>
      <w:proofErr w:type="spellEnd"/>
      <w:r>
        <w:rPr>
          <w:lang w:val="en-US"/>
        </w:rPr>
        <w:t xml:space="preserve"> PRO, a web analytics service with a consent manager, </w:t>
      </w:r>
      <w:proofErr w:type="gramStart"/>
      <w:r>
        <w:rPr>
          <w:lang w:val="en-US"/>
        </w:rPr>
        <w:t>a tag manager and analytics</w:t>
      </w:r>
      <w:proofErr w:type="gramEnd"/>
      <w:r>
        <w:rPr>
          <w:lang w:val="en-US"/>
        </w:rPr>
        <w:t xml:space="preserve">. </w:t>
      </w:r>
      <w:r w:rsidRPr="003C1299">
        <w:rPr>
          <w:lang w:val="en-US"/>
        </w:rPr>
        <w:t xml:space="preserve">The tool is one of the analysis platforms approved by the </w:t>
      </w:r>
      <w:r>
        <w:rPr>
          <w:lang w:val="en-US"/>
        </w:rPr>
        <w:t>French National Commission on Informatics and Liberty (</w:t>
      </w:r>
      <w:r w:rsidRPr="003C1299">
        <w:rPr>
          <w:lang w:val="en-US"/>
        </w:rPr>
        <w:t>CNIL</w:t>
      </w:r>
      <w:r>
        <w:rPr>
          <w:lang w:val="en-US"/>
        </w:rPr>
        <w:t>)</w:t>
      </w:r>
      <w:r w:rsidRPr="003C1299">
        <w:rPr>
          <w:lang w:val="en-US"/>
        </w:rPr>
        <w:t xml:space="preserve">. It offers a free version, with limited features, </w:t>
      </w:r>
      <w:r>
        <w:rPr>
          <w:lang w:val="en-US"/>
        </w:rPr>
        <w:t>suited</w:t>
      </w:r>
      <w:r w:rsidRPr="003C1299">
        <w:rPr>
          <w:lang w:val="en-US"/>
        </w:rPr>
        <w:t xml:space="preserve"> for sites with relatively </w:t>
      </w:r>
      <w:r w:rsidR="00BF598B">
        <w:rPr>
          <w:lang w:val="en-US"/>
        </w:rPr>
        <w:t>low</w:t>
      </w:r>
      <w:r w:rsidRPr="003C1299">
        <w:rPr>
          <w:lang w:val="en-US"/>
        </w:rPr>
        <w:t xml:space="preserve"> traffic</w:t>
      </w:r>
      <w:r>
        <w:rPr>
          <w:lang w:val="en-US"/>
        </w:rPr>
        <w:t xml:space="preserve">, which should be </w:t>
      </w:r>
      <w:r w:rsidR="00BF598B">
        <w:rPr>
          <w:lang w:val="en-US"/>
        </w:rPr>
        <w:t>suitable</w:t>
      </w:r>
      <w:r>
        <w:rPr>
          <w:lang w:val="en-US"/>
        </w:rPr>
        <w:t xml:space="preserve"> </w:t>
      </w:r>
      <w:r w:rsidR="00AC0D19">
        <w:rPr>
          <w:lang w:val="en-US"/>
        </w:rPr>
        <w:t>for</w:t>
      </w:r>
      <w:r>
        <w:rPr>
          <w:lang w:val="en-US"/>
        </w:rPr>
        <w:t xml:space="preserve"> a </w:t>
      </w:r>
      <w:r w:rsidR="00AC0D19">
        <w:rPr>
          <w:lang w:val="en-US"/>
        </w:rPr>
        <w:t>web</w:t>
      </w:r>
      <w:r>
        <w:rPr>
          <w:lang w:val="en-US"/>
        </w:rPr>
        <w:t>site hosting specialized 3D</w:t>
      </w:r>
      <w:r w:rsidR="00BF598B">
        <w:rPr>
          <w:lang w:val="en-US"/>
        </w:rPr>
        <w:t xml:space="preserve"> </w:t>
      </w:r>
      <w:r>
        <w:rPr>
          <w:lang w:val="en-US"/>
        </w:rPr>
        <w:t>hadron structure computing software</w:t>
      </w:r>
      <w:r w:rsidRPr="003C1299">
        <w:rPr>
          <w:lang w:val="en-US"/>
        </w:rPr>
        <w:t>.</w:t>
      </w:r>
      <w:r>
        <w:rPr>
          <w:lang w:val="en-US"/>
        </w:rPr>
        <w:t xml:space="preserve"> </w:t>
      </w:r>
      <w:proofErr w:type="spellStart"/>
      <w:r>
        <w:rPr>
          <w:lang w:val="en-US"/>
        </w:rPr>
        <w:t>Piwik</w:t>
      </w:r>
      <w:proofErr w:type="spellEnd"/>
      <w:r>
        <w:rPr>
          <w:lang w:val="en-US"/>
        </w:rPr>
        <w:t xml:space="preserve"> Pro has a shared history with </w:t>
      </w:r>
      <w:proofErr w:type="spellStart"/>
      <w:r>
        <w:rPr>
          <w:lang w:val="en-US"/>
        </w:rPr>
        <w:t>Matomo</w:t>
      </w:r>
      <w:proofErr w:type="spellEnd"/>
      <w:r>
        <w:rPr>
          <w:lang w:val="en-US"/>
        </w:rPr>
        <w:t xml:space="preserve"> (formerly </w:t>
      </w:r>
      <w:proofErr w:type="spellStart"/>
      <w:r>
        <w:rPr>
          <w:lang w:val="en-US"/>
        </w:rPr>
        <w:t>Piwik</w:t>
      </w:r>
      <w:proofErr w:type="spellEnd"/>
      <w:r>
        <w:rPr>
          <w:lang w:val="en-US"/>
        </w:rPr>
        <w:t>) which is the basis of Europa Analytics, the corporate service monitoring the European Commission’s websites.</w:t>
      </w:r>
    </w:p>
    <w:p w:rsidR="00045C2F" w:rsidRDefault="00045C2F" w:rsidP="00C56396">
      <w:pPr>
        <w:pStyle w:val="Heading2"/>
        <w:rPr>
          <w:lang w:val="en-US"/>
        </w:rPr>
      </w:pPr>
    </w:p>
    <w:p w:rsidR="006532BD" w:rsidRPr="00C56396" w:rsidRDefault="00C56396" w:rsidP="00C56396">
      <w:pPr>
        <w:pStyle w:val="Heading2"/>
        <w:rPr>
          <w:lang w:val="en-US"/>
        </w:rPr>
      </w:pPr>
      <w:r>
        <w:rPr>
          <w:lang w:val="en-US"/>
        </w:rPr>
        <w:t xml:space="preserve">3.2 </w:t>
      </w:r>
      <w:r w:rsidR="006532BD" w:rsidRPr="00C56396">
        <w:rPr>
          <w:lang w:val="en-US"/>
        </w:rPr>
        <w:t>Access to the facility during the reporting period supported by the project</w:t>
      </w:r>
      <w:r>
        <w:rPr>
          <w:lang w:val="en-US"/>
        </w:rPr>
        <w:t xml:space="preserve"> </w:t>
      </w:r>
    </w:p>
    <w:p w:rsidR="00045C2F" w:rsidRDefault="00045C2F" w:rsidP="00EA7396">
      <w:pPr>
        <w:jc w:val="both"/>
        <w:rPr>
          <w:iCs/>
          <w:lang w:val="en-US"/>
        </w:rPr>
      </w:pPr>
    </w:p>
    <w:p w:rsidR="00EA7396" w:rsidRPr="00FB50CF" w:rsidRDefault="00EA7396" w:rsidP="00EA7396">
      <w:pPr>
        <w:jc w:val="both"/>
        <w:rPr>
          <w:lang w:val="en-US"/>
        </w:rPr>
      </w:pPr>
      <w:r w:rsidRPr="00FB50CF">
        <w:rPr>
          <w:iCs/>
          <w:lang w:val="en-US"/>
        </w:rPr>
        <w:t xml:space="preserve">The transition to </w:t>
      </w:r>
      <w:proofErr w:type="spellStart"/>
      <w:r w:rsidRPr="00FB50CF">
        <w:rPr>
          <w:iCs/>
          <w:lang w:val="en-US"/>
        </w:rPr>
        <w:t>Piwik</w:t>
      </w:r>
      <w:proofErr w:type="spellEnd"/>
      <w:r w:rsidRPr="00FB50CF">
        <w:rPr>
          <w:iCs/>
          <w:lang w:val="en-US"/>
        </w:rPr>
        <w:t xml:space="preserve"> Analytics became effective </w:t>
      </w:r>
      <w:r w:rsidR="00022024">
        <w:rPr>
          <w:iCs/>
          <w:lang w:val="en-US"/>
        </w:rPr>
        <w:t>starting</w:t>
      </w:r>
      <w:r w:rsidRPr="00FB50CF">
        <w:rPr>
          <w:iCs/>
          <w:lang w:val="en-US"/>
        </w:rPr>
        <w:t xml:space="preserve"> from </w:t>
      </w:r>
      <w:r w:rsidRPr="00FB50CF">
        <w:rPr>
          <w:iCs/>
          <w:lang w:val="en-US"/>
        </w:rPr>
        <w:t xml:space="preserve">July </w:t>
      </w:r>
      <w:r w:rsidR="00022024" w:rsidRPr="00FB50CF">
        <w:rPr>
          <w:iCs/>
          <w:lang w:val="en-US"/>
        </w:rPr>
        <w:t>1</w:t>
      </w:r>
      <w:r w:rsidR="00022024" w:rsidRPr="00FB50CF">
        <w:rPr>
          <w:iCs/>
          <w:vertAlign w:val="superscript"/>
          <w:lang w:val="en-US"/>
        </w:rPr>
        <w:t>st</w:t>
      </w:r>
      <w:r w:rsidR="00022024">
        <w:rPr>
          <w:iCs/>
          <w:lang w:val="en-US"/>
        </w:rPr>
        <w:t xml:space="preserve"> </w:t>
      </w:r>
      <w:r w:rsidRPr="00FB50CF">
        <w:rPr>
          <w:iCs/>
          <w:lang w:val="en-US"/>
        </w:rPr>
        <w:t xml:space="preserve">2023. </w:t>
      </w:r>
      <w:r w:rsidRPr="00FB50CF">
        <w:rPr>
          <w:iCs/>
          <w:lang w:val="en-US"/>
        </w:rPr>
        <w:t>D</w:t>
      </w:r>
      <w:r w:rsidRPr="00FB50CF">
        <w:rPr>
          <w:iCs/>
          <w:lang w:val="en-US"/>
        </w:rPr>
        <w:t xml:space="preserve">ata prior to this </w:t>
      </w:r>
      <w:r w:rsidRPr="00FB50CF">
        <w:rPr>
          <w:iCs/>
          <w:lang w:val="en-US"/>
        </w:rPr>
        <w:t>date collected through Google Analytics is thus no longer accessible</w:t>
      </w:r>
      <w:r w:rsidRPr="00FB50CF">
        <w:rPr>
          <w:iCs/>
          <w:lang w:val="en-US"/>
        </w:rPr>
        <w:t xml:space="preserve">. </w:t>
      </w:r>
      <w:r w:rsidRPr="00FB50CF">
        <w:rPr>
          <w:iCs/>
          <w:lang w:val="en-US"/>
        </w:rPr>
        <w:t xml:space="preserve">This caused </w:t>
      </w:r>
      <w:r w:rsidRPr="00FB50CF">
        <w:rPr>
          <w:iCs/>
          <w:lang w:val="en-US"/>
        </w:rPr>
        <w:t xml:space="preserve">a gap </w:t>
      </w:r>
      <w:r w:rsidRPr="00FB50CF">
        <w:rPr>
          <w:iCs/>
          <w:lang w:val="en-US"/>
        </w:rPr>
        <w:t xml:space="preserve">of </w:t>
      </w:r>
      <w:r w:rsidRPr="00FB50CF">
        <w:rPr>
          <w:iCs/>
          <w:lang w:val="en-US"/>
        </w:rPr>
        <w:t>13 months</w:t>
      </w:r>
      <w:r w:rsidRPr="00FB50CF">
        <w:rPr>
          <w:iCs/>
          <w:lang w:val="en-US"/>
        </w:rPr>
        <w:t xml:space="preserve"> </w:t>
      </w:r>
      <w:r w:rsidRPr="00FB50CF">
        <w:rPr>
          <w:iCs/>
          <w:lang w:val="en-US"/>
        </w:rPr>
        <w:t xml:space="preserve">between </w:t>
      </w:r>
      <w:r w:rsidRPr="00FB50CF">
        <w:rPr>
          <w:iCs/>
          <w:lang w:val="en-US"/>
        </w:rPr>
        <w:t>the 1</w:t>
      </w:r>
      <w:r w:rsidRPr="00FB50CF">
        <w:rPr>
          <w:iCs/>
          <w:vertAlign w:val="superscript"/>
          <w:lang w:val="en-US"/>
        </w:rPr>
        <w:t>st</w:t>
      </w:r>
      <w:r w:rsidRPr="00FB50CF">
        <w:rPr>
          <w:iCs/>
          <w:lang w:val="en-US"/>
        </w:rPr>
        <w:t xml:space="preserve"> of </w:t>
      </w:r>
      <w:r w:rsidRPr="00FB50CF">
        <w:rPr>
          <w:iCs/>
          <w:lang w:val="en-US"/>
        </w:rPr>
        <w:t xml:space="preserve">June 2022, end date of the last report, and </w:t>
      </w:r>
      <w:r w:rsidRPr="00FB50CF">
        <w:rPr>
          <w:iCs/>
          <w:lang w:val="en-US"/>
        </w:rPr>
        <w:t>31</w:t>
      </w:r>
      <w:r w:rsidRPr="00FB50CF">
        <w:rPr>
          <w:iCs/>
          <w:vertAlign w:val="superscript"/>
          <w:lang w:val="en-US"/>
        </w:rPr>
        <w:t>st</w:t>
      </w:r>
      <w:r w:rsidRPr="00FB50CF">
        <w:rPr>
          <w:iCs/>
          <w:lang w:val="en-US"/>
        </w:rPr>
        <w:t xml:space="preserve"> of </w:t>
      </w:r>
      <w:r w:rsidRPr="00FB50CF">
        <w:rPr>
          <w:iCs/>
          <w:lang w:val="en-US"/>
        </w:rPr>
        <w:t xml:space="preserve">June 2023. </w:t>
      </w:r>
      <w:r w:rsidRPr="00FB50CF">
        <w:rPr>
          <w:iCs/>
          <w:lang w:val="en-US"/>
        </w:rPr>
        <w:t>T</w:t>
      </w:r>
      <w:r w:rsidR="00D57327" w:rsidRPr="00FB50CF">
        <w:rPr>
          <w:iCs/>
          <w:lang w:val="en-US"/>
        </w:rPr>
        <w:t xml:space="preserve">o </w:t>
      </w:r>
      <w:r w:rsidR="006F471E">
        <w:rPr>
          <w:iCs/>
          <w:lang w:val="en-US"/>
        </w:rPr>
        <w:t>fill</w:t>
      </w:r>
      <w:r w:rsidR="00D57327" w:rsidRPr="00FB50CF">
        <w:rPr>
          <w:iCs/>
          <w:lang w:val="en-US"/>
        </w:rPr>
        <w:t xml:space="preserve"> this gap</w:t>
      </w:r>
      <w:r w:rsidRPr="00FB50CF">
        <w:rPr>
          <w:iCs/>
          <w:lang w:val="en-US"/>
        </w:rPr>
        <w:t>, the estimates provided below are obtained through</w:t>
      </w:r>
      <w:r w:rsidRPr="00FB50CF">
        <w:rPr>
          <w:iCs/>
          <w:lang w:val="en-US"/>
        </w:rPr>
        <w:t xml:space="preserve"> </w:t>
      </w:r>
      <w:r w:rsidR="006F471E">
        <w:rPr>
          <w:iCs/>
          <w:lang w:val="en-US"/>
        </w:rPr>
        <w:t xml:space="preserve">a </w:t>
      </w:r>
      <w:r w:rsidRPr="00FB50CF">
        <w:rPr>
          <w:iCs/>
          <w:lang w:val="en-US"/>
        </w:rPr>
        <w:t xml:space="preserve">linear extrapolation based on the period 07/2023-07/2024 </w:t>
      </w:r>
      <w:r w:rsidR="00D57327" w:rsidRPr="00FB50CF">
        <w:rPr>
          <w:iCs/>
          <w:lang w:val="en-US"/>
        </w:rPr>
        <w:t xml:space="preserve">(13 months) </w:t>
      </w:r>
      <w:r w:rsidRPr="00FB50CF">
        <w:rPr>
          <w:iCs/>
          <w:lang w:val="en-US"/>
        </w:rPr>
        <w:t xml:space="preserve">to the </w:t>
      </w:r>
      <w:r w:rsidRPr="00FB50CF">
        <w:rPr>
          <w:iCs/>
          <w:lang w:val="en-US"/>
        </w:rPr>
        <w:t xml:space="preserve">full </w:t>
      </w:r>
      <w:r w:rsidRPr="00FB50CF">
        <w:rPr>
          <w:iCs/>
          <w:lang w:val="en-US"/>
        </w:rPr>
        <w:t>period 06/2022-07/2024</w:t>
      </w:r>
      <w:r w:rsidR="00D57327" w:rsidRPr="00FB50CF">
        <w:rPr>
          <w:iCs/>
          <w:lang w:val="en-US"/>
        </w:rPr>
        <w:t xml:space="preserve"> (26 months)</w:t>
      </w:r>
      <w:r w:rsidRPr="00FB50CF">
        <w:rPr>
          <w:iCs/>
          <w:lang w:val="en-US"/>
        </w:rPr>
        <w:t>.</w:t>
      </w:r>
      <w:r w:rsidRPr="00FB50CF">
        <w:rPr>
          <w:iCs/>
          <w:lang w:val="en-US"/>
        </w:rPr>
        <w:t xml:space="preserve"> The reliability of these estimates i</w:t>
      </w:r>
      <w:r w:rsidR="00D57327" w:rsidRPr="00FB50CF">
        <w:rPr>
          <w:iCs/>
          <w:lang w:val="en-US"/>
        </w:rPr>
        <w:t>s</w:t>
      </w:r>
      <w:r w:rsidRPr="00FB50CF">
        <w:rPr>
          <w:iCs/>
          <w:lang w:val="en-US"/>
        </w:rPr>
        <w:t xml:space="preserve"> supported by their </w:t>
      </w:r>
      <w:r w:rsidR="006F471E">
        <w:rPr>
          <w:iCs/>
          <w:lang w:val="en-US"/>
        </w:rPr>
        <w:t>similarity</w:t>
      </w:r>
      <w:r w:rsidRPr="00FB50CF">
        <w:rPr>
          <w:iCs/>
          <w:lang w:val="en-US"/>
        </w:rPr>
        <w:t xml:space="preserve"> with previous estimates given in past reports.</w:t>
      </w:r>
    </w:p>
    <w:p w:rsidR="006F471E" w:rsidRDefault="006F471E" w:rsidP="00EA7396">
      <w:pPr>
        <w:jc w:val="both"/>
        <w:rPr>
          <w:color w:val="000000" w:themeColor="text1"/>
          <w:lang w:val="en-US"/>
        </w:rPr>
      </w:pPr>
    </w:p>
    <w:p w:rsidR="00D57327" w:rsidRDefault="00D57327" w:rsidP="00EA7396">
      <w:pPr>
        <w:jc w:val="both"/>
        <w:rPr>
          <w:color w:val="000000" w:themeColor="text1"/>
          <w:lang w:val="en-US"/>
        </w:rPr>
      </w:pPr>
      <w:r w:rsidRPr="00FB50CF">
        <w:rPr>
          <w:color w:val="000000" w:themeColor="text1"/>
          <w:lang w:val="en-US"/>
        </w:rPr>
        <w:t>B</w:t>
      </w:r>
      <w:r w:rsidR="00EA7396" w:rsidRPr="00FB50CF">
        <w:rPr>
          <w:color w:val="000000" w:themeColor="text1"/>
          <w:lang w:val="en-US"/>
        </w:rPr>
        <w:t xml:space="preserve">etween </w:t>
      </w:r>
      <w:r w:rsidRPr="00FB50CF">
        <w:rPr>
          <w:color w:val="000000" w:themeColor="text1"/>
          <w:lang w:val="en-US"/>
        </w:rPr>
        <w:t>June 1</w:t>
      </w:r>
      <w:r w:rsidRPr="00FB50CF">
        <w:rPr>
          <w:color w:val="000000" w:themeColor="text1"/>
          <w:vertAlign w:val="superscript"/>
          <w:lang w:val="en-US"/>
        </w:rPr>
        <w:t>st</w:t>
      </w:r>
      <w:r w:rsidR="00EA7396" w:rsidRPr="00FB50CF">
        <w:rPr>
          <w:color w:val="000000" w:themeColor="text1"/>
          <w:lang w:val="en-US"/>
        </w:rPr>
        <w:t xml:space="preserve"> 202</w:t>
      </w:r>
      <w:r w:rsidRPr="00FB50CF">
        <w:rPr>
          <w:color w:val="000000" w:themeColor="text1"/>
          <w:lang w:val="en-US"/>
        </w:rPr>
        <w:t>2</w:t>
      </w:r>
      <w:r w:rsidR="00EA7396" w:rsidRPr="00FB50CF">
        <w:rPr>
          <w:color w:val="000000" w:themeColor="text1"/>
          <w:lang w:val="en-US"/>
        </w:rPr>
        <w:t xml:space="preserve"> </w:t>
      </w:r>
      <w:r w:rsidR="00191F60">
        <w:rPr>
          <w:color w:val="000000" w:themeColor="text1"/>
          <w:lang w:val="en-US"/>
        </w:rPr>
        <w:t xml:space="preserve">and </w:t>
      </w:r>
      <w:r w:rsidRPr="00FB50CF">
        <w:rPr>
          <w:color w:val="000000" w:themeColor="text1"/>
          <w:lang w:val="en-US"/>
        </w:rPr>
        <w:t>July 31</w:t>
      </w:r>
      <w:proofErr w:type="gramStart"/>
      <w:r w:rsidRPr="00FB50CF">
        <w:rPr>
          <w:color w:val="000000" w:themeColor="text1"/>
          <w:vertAlign w:val="superscript"/>
          <w:lang w:val="en-US"/>
        </w:rPr>
        <w:t>st</w:t>
      </w:r>
      <w:r w:rsidRPr="00FB50CF">
        <w:rPr>
          <w:color w:val="000000" w:themeColor="text1"/>
          <w:lang w:val="en-US"/>
        </w:rPr>
        <w:t xml:space="preserve"> </w:t>
      </w:r>
      <w:r w:rsidR="00EA7396" w:rsidRPr="00FB50CF">
        <w:rPr>
          <w:color w:val="000000" w:themeColor="text1"/>
          <w:lang w:val="en-US"/>
        </w:rPr>
        <w:t xml:space="preserve"> 202</w:t>
      </w:r>
      <w:r w:rsidRPr="00FB50CF">
        <w:rPr>
          <w:color w:val="000000" w:themeColor="text1"/>
          <w:lang w:val="en-US"/>
        </w:rPr>
        <w:t>3</w:t>
      </w:r>
      <w:proofErr w:type="gramEnd"/>
      <w:r w:rsidR="00EA7396" w:rsidRPr="00FB50CF">
        <w:rPr>
          <w:color w:val="000000" w:themeColor="text1"/>
          <w:lang w:val="en-US"/>
        </w:rPr>
        <w:t xml:space="preserve">, there </w:t>
      </w:r>
      <w:r w:rsidRPr="00FB50CF">
        <w:rPr>
          <w:color w:val="000000" w:themeColor="text1"/>
          <w:lang w:val="en-US"/>
        </w:rPr>
        <w:t>have</w:t>
      </w:r>
      <w:r w:rsidR="00EA7396" w:rsidRPr="00FB50CF">
        <w:rPr>
          <w:color w:val="000000" w:themeColor="text1"/>
          <w:lang w:val="en-US"/>
        </w:rPr>
        <w:t xml:space="preserve"> been </w:t>
      </w:r>
      <w:r w:rsidRPr="00FB50CF">
        <w:rPr>
          <w:color w:val="000000" w:themeColor="text1"/>
          <w:lang w:val="en-US"/>
        </w:rPr>
        <w:t xml:space="preserve">more than </w:t>
      </w:r>
      <w:r w:rsidR="00EA7396" w:rsidRPr="00FB50CF">
        <w:rPr>
          <w:color w:val="000000" w:themeColor="text1"/>
          <w:lang w:val="en-US"/>
        </w:rPr>
        <w:t>40</w:t>
      </w:r>
      <w:r w:rsidRPr="00FB50CF">
        <w:rPr>
          <w:color w:val="000000" w:themeColor="text1"/>
          <w:lang w:val="en-US"/>
        </w:rPr>
        <w:t>00</w:t>
      </w:r>
      <w:r w:rsidR="00EA7396" w:rsidRPr="00FB50CF">
        <w:rPr>
          <w:color w:val="000000" w:themeColor="text1"/>
          <w:lang w:val="en-US"/>
        </w:rPr>
        <w:t xml:space="preserve"> views of the </w:t>
      </w:r>
      <w:r w:rsidR="00191F60">
        <w:rPr>
          <w:color w:val="000000" w:themeColor="text1"/>
          <w:lang w:val="en-US"/>
        </w:rPr>
        <w:t xml:space="preserve">PARTONS </w:t>
      </w:r>
      <w:r w:rsidR="00EA7396" w:rsidRPr="00FB50CF">
        <w:rPr>
          <w:color w:val="000000" w:themeColor="text1"/>
          <w:lang w:val="en-US"/>
        </w:rPr>
        <w:t>websit</w:t>
      </w:r>
      <w:r w:rsidRPr="00FB50CF">
        <w:rPr>
          <w:color w:val="000000" w:themeColor="text1"/>
          <w:lang w:val="en-US"/>
        </w:rPr>
        <w:t>e</w:t>
      </w:r>
      <w:r w:rsidR="00EA7396" w:rsidRPr="00FB50CF">
        <w:rPr>
          <w:color w:val="000000" w:themeColor="text1"/>
          <w:lang w:val="en-US"/>
        </w:rPr>
        <w:t xml:space="preserve">. These views correspond to </w:t>
      </w:r>
      <w:r w:rsidRPr="00FB50CF">
        <w:rPr>
          <w:color w:val="000000" w:themeColor="text1"/>
          <w:lang w:val="en-US"/>
        </w:rPr>
        <w:t>around 1400</w:t>
      </w:r>
      <w:r w:rsidR="00EA7396" w:rsidRPr="00FB50CF">
        <w:rPr>
          <w:color w:val="000000" w:themeColor="text1"/>
          <w:lang w:val="en-US"/>
        </w:rPr>
        <w:t xml:space="preserve"> users worldwide. With a bounce rate of about </w:t>
      </w:r>
      <w:r w:rsidRPr="00FB50CF">
        <w:rPr>
          <w:color w:val="000000" w:themeColor="text1"/>
          <w:lang w:val="en-US"/>
        </w:rPr>
        <w:t>64</w:t>
      </w:r>
      <w:r w:rsidR="00EA7396" w:rsidRPr="00FB50CF">
        <w:rPr>
          <w:color w:val="000000" w:themeColor="text1"/>
          <w:lang w:val="en-US"/>
        </w:rPr>
        <w:t xml:space="preserve">%, the website still engages visitors to go deeper into its structure. It received </w:t>
      </w:r>
      <w:r w:rsidRPr="00FB50CF">
        <w:rPr>
          <w:color w:val="000000" w:themeColor="text1"/>
          <w:lang w:val="en-US"/>
        </w:rPr>
        <w:t>around 10</w:t>
      </w:r>
      <w:r w:rsidR="00EA7396" w:rsidRPr="00FB50CF">
        <w:rPr>
          <w:color w:val="000000" w:themeColor="text1"/>
          <w:lang w:val="en-US"/>
        </w:rPr>
        <w:t xml:space="preserve">% returning visitors and </w:t>
      </w:r>
      <w:r w:rsidRPr="00FB50CF">
        <w:rPr>
          <w:color w:val="000000" w:themeColor="text1"/>
          <w:lang w:val="en-US"/>
        </w:rPr>
        <w:t>90</w:t>
      </w:r>
      <w:r w:rsidR="00EA7396" w:rsidRPr="00FB50CF">
        <w:rPr>
          <w:color w:val="000000" w:themeColor="text1"/>
          <w:lang w:val="en-US"/>
        </w:rPr>
        <w:t xml:space="preserve">% new visitors. </w:t>
      </w:r>
      <w:r w:rsidRPr="00FB50CF">
        <w:rPr>
          <w:color w:val="000000" w:themeColor="text1"/>
          <w:lang w:val="en-US"/>
        </w:rPr>
        <w:t xml:space="preserve">Interestingly, around 1100 users </w:t>
      </w:r>
      <w:r w:rsidR="00191F60">
        <w:rPr>
          <w:color w:val="000000" w:themeColor="text1"/>
          <w:lang w:val="en-US"/>
        </w:rPr>
        <w:t>out of</w:t>
      </w:r>
      <w:r w:rsidRPr="00FB50CF">
        <w:rPr>
          <w:color w:val="000000" w:themeColor="text1"/>
          <w:lang w:val="en-US"/>
        </w:rPr>
        <w:t xml:space="preserve"> 1400 accessed the website directly without passing through a search engine. This indicates that </w:t>
      </w:r>
      <w:r w:rsidR="0045008A" w:rsidRPr="00FB50CF">
        <w:rPr>
          <w:color w:val="000000" w:themeColor="text1"/>
          <w:lang w:val="en-US"/>
        </w:rPr>
        <w:t>most of the visitors are assiduous</w:t>
      </w:r>
      <w:r w:rsidR="00191F60">
        <w:rPr>
          <w:color w:val="000000" w:themeColor="text1"/>
          <w:lang w:val="en-US"/>
        </w:rPr>
        <w:t xml:space="preserve"> users</w:t>
      </w:r>
      <w:r w:rsidR="0045008A" w:rsidRPr="00FB50CF">
        <w:rPr>
          <w:color w:val="000000" w:themeColor="text1"/>
          <w:lang w:val="en-US"/>
        </w:rPr>
        <w:t>.</w:t>
      </w:r>
    </w:p>
    <w:p w:rsidR="00191F60" w:rsidRPr="00FB50CF" w:rsidRDefault="00191F60" w:rsidP="00EA7396">
      <w:pPr>
        <w:jc w:val="both"/>
        <w:rPr>
          <w:color w:val="000000" w:themeColor="text1"/>
          <w:lang w:val="en-US"/>
        </w:rPr>
      </w:pPr>
    </w:p>
    <w:p w:rsidR="00C56396" w:rsidRPr="00FB50CF" w:rsidRDefault="00EA7396" w:rsidP="0047011C">
      <w:pPr>
        <w:jc w:val="both"/>
        <w:rPr>
          <w:color w:val="000000" w:themeColor="text1"/>
          <w:lang w:val="en-US"/>
        </w:rPr>
      </w:pPr>
      <w:proofErr w:type="gramStart"/>
      <w:r w:rsidRPr="00FB50CF">
        <w:rPr>
          <w:color w:val="000000" w:themeColor="text1"/>
          <w:lang w:val="en-US"/>
        </w:rPr>
        <w:t>Similarly</w:t>
      </w:r>
      <w:proofErr w:type="gramEnd"/>
      <w:r w:rsidRPr="00FB50CF">
        <w:rPr>
          <w:color w:val="000000" w:themeColor="text1"/>
          <w:lang w:val="en-US"/>
        </w:rPr>
        <w:t xml:space="preserve"> to what was observed during the first </w:t>
      </w:r>
      <w:r w:rsidR="00D57327" w:rsidRPr="00FB50CF">
        <w:rPr>
          <w:color w:val="000000" w:themeColor="text1"/>
          <w:lang w:val="en-US"/>
        </w:rPr>
        <w:t xml:space="preserve">and second </w:t>
      </w:r>
      <w:r w:rsidRPr="00FB50CF">
        <w:rPr>
          <w:color w:val="000000" w:themeColor="text1"/>
          <w:lang w:val="en-US"/>
        </w:rPr>
        <w:t>period</w:t>
      </w:r>
      <w:r w:rsidR="00D57327" w:rsidRPr="00FB50CF">
        <w:rPr>
          <w:color w:val="000000" w:themeColor="text1"/>
          <w:lang w:val="en-US"/>
        </w:rPr>
        <w:t>s</w:t>
      </w:r>
      <w:r w:rsidRPr="00FB50CF">
        <w:rPr>
          <w:color w:val="000000" w:themeColor="text1"/>
          <w:lang w:val="en-US"/>
        </w:rPr>
        <w:t xml:space="preserve">, </w:t>
      </w:r>
      <w:r w:rsidR="00E24D65">
        <w:rPr>
          <w:color w:val="000000" w:themeColor="text1"/>
          <w:lang w:val="en-US"/>
        </w:rPr>
        <w:t>visitors</w:t>
      </w:r>
      <w:r w:rsidRPr="00FB50CF">
        <w:rPr>
          <w:color w:val="000000" w:themeColor="text1"/>
          <w:lang w:val="en-US"/>
        </w:rPr>
        <w:t xml:space="preserve"> connect</w:t>
      </w:r>
      <w:r w:rsidR="00E24D65">
        <w:rPr>
          <w:color w:val="000000" w:themeColor="text1"/>
          <w:lang w:val="en-US"/>
        </w:rPr>
        <w:t>ed mostly</w:t>
      </w:r>
      <w:r w:rsidRPr="00FB50CF">
        <w:rPr>
          <w:color w:val="000000" w:themeColor="text1"/>
          <w:lang w:val="en-US"/>
        </w:rPr>
        <w:t xml:space="preserve"> from</w:t>
      </w:r>
      <w:r w:rsidR="00E24D65">
        <w:rPr>
          <w:color w:val="000000" w:themeColor="text1"/>
          <w:lang w:val="en-US"/>
        </w:rPr>
        <w:t>:</w:t>
      </w:r>
      <w:r w:rsidRPr="00FB50CF">
        <w:rPr>
          <w:color w:val="000000" w:themeColor="text1"/>
          <w:lang w:val="en-US"/>
        </w:rPr>
        <w:t xml:space="preserve"> the United States (</w:t>
      </w:r>
      <w:r w:rsidR="0045008A" w:rsidRPr="00FB50CF">
        <w:rPr>
          <w:color w:val="000000" w:themeColor="text1"/>
          <w:lang w:val="en-US"/>
        </w:rPr>
        <w:t>320</w:t>
      </w:r>
      <w:r w:rsidRPr="00FB50CF">
        <w:rPr>
          <w:color w:val="000000" w:themeColor="text1"/>
          <w:lang w:val="en-US"/>
        </w:rPr>
        <w:t>), France (</w:t>
      </w:r>
      <w:r w:rsidR="0045008A" w:rsidRPr="00FB50CF">
        <w:rPr>
          <w:color w:val="000000" w:themeColor="text1"/>
          <w:lang w:val="en-US"/>
        </w:rPr>
        <w:t>240</w:t>
      </w:r>
      <w:r w:rsidRPr="00FB50CF">
        <w:rPr>
          <w:color w:val="000000" w:themeColor="text1"/>
          <w:lang w:val="en-US"/>
        </w:rPr>
        <w:t xml:space="preserve">), </w:t>
      </w:r>
      <w:r w:rsidR="0045008A" w:rsidRPr="00FB50CF">
        <w:rPr>
          <w:color w:val="000000" w:themeColor="text1"/>
          <w:lang w:val="en-US"/>
        </w:rPr>
        <w:t xml:space="preserve">Russia (210), </w:t>
      </w:r>
      <w:r w:rsidRPr="00FB50CF">
        <w:rPr>
          <w:color w:val="000000" w:themeColor="text1"/>
          <w:lang w:val="en-US"/>
        </w:rPr>
        <w:t>Poland (</w:t>
      </w:r>
      <w:r w:rsidR="0045008A" w:rsidRPr="00FB50CF">
        <w:rPr>
          <w:color w:val="000000" w:themeColor="text1"/>
          <w:lang w:val="en-US"/>
        </w:rPr>
        <w:t>85</w:t>
      </w:r>
      <w:r w:rsidRPr="00FB50CF">
        <w:rPr>
          <w:color w:val="000000" w:themeColor="text1"/>
          <w:lang w:val="en-US"/>
        </w:rPr>
        <w:t>)</w:t>
      </w:r>
      <w:r w:rsidR="00E24D65">
        <w:rPr>
          <w:color w:val="000000" w:themeColor="text1"/>
          <w:lang w:val="en-US"/>
        </w:rPr>
        <w:t>,</w:t>
      </w:r>
      <w:r w:rsidRPr="00FB50CF">
        <w:rPr>
          <w:color w:val="000000" w:themeColor="text1"/>
          <w:lang w:val="en-US"/>
        </w:rPr>
        <w:t xml:space="preserve"> and China (</w:t>
      </w:r>
      <w:r w:rsidR="0045008A" w:rsidRPr="00FB50CF">
        <w:rPr>
          <w:color w:val="000000" w:themeColor="text1"/>
          <w:lang w:val="en-US"/>
        </w:rPr>
        <w:t>60</w:t>
      </w:r>
      <w:r w:rsidRPr="00FB50CF">
        <w:rPr>
          <w:color w:val="000000" w:themeColor="text1"/>
          <w:lang w:val="en-US"/>
        </w:rPr>
        <w:t xml:space="preserve">). The </w:t>
      </w:r>
      <w:r w:rsidR="0045008A" w:rsidRPr="00FB50CF">
        <w:rPr>
          <w:color w:val="000000" w:themeColor="text1"/>
          <w:lang w:val="en-US"/>
        </w:rPr>
        <w:t>general</w:t>
      </w:r>
      <w:r w:rsidRPr="00FB50CF">
        <w:rPr>
          <w:color w:val="000000" w:themeColor="text1"/>
          <w:lang w:val="en-US"/>
        </w:rPr>
        <w:t xml:space="preserve"> interpretation of these numbers </w:t>
      </w:r>
      <w:r w:rsidR="0045008A" w:rsidRPr="00FB50CF">
        <w:rPr>
          <w:color w:val="000000" w:themeColor="text1"/>
          <w:lang w:val="en-US"/>
        </w:rPr>
        <w:t xml:space="preserve">is </w:t>
      </w:r>
      <w:r w:rsidRPr="00FB50CF">
        <w:rPr>
          <w:color w:val="000000" w:themeColor="text1"/>
          <w:lang w:val="en-US"/>
        </w:rPr>
        <w:t xml:space="preserve">presumably </w:t>
      </w:r>
      <w:r w:rsidR="0045008A" w:rsidRPr="00FB50CF">
        <w:rPr>
          <w:color w:val="000000" w:themeColor="text1"/>
          <w:lang w:val="en-US"/>
        </w:rPr>
        <w:t>as follows</w:t>
      </w:r>
      <w:r w:rsidRPr="00FB50CF">
        <w:rPr>
          <w:color w:val="000000" w:themeColor="text1"/>
          <w:lang w:val="en-US"/>
        </w:rPr>
        <w:t>: m</w:t>
      </w:r>
      <w:r w:rsidR="0045008A" w:rsidRPr="00FB50CF">
        <w:rPr>
          <w:color w:val="000000" w:themeColor="text1"/>
          <w:lang w:val="en-US"/>
        </w:rPr>
        <w:t>any</w:t>
      </w:r>
      <w:r w:rsidRPr="00FB50CF">
        <w:rPr>
          <w:color w:val="000000" w:themeColor="text1"/>
          <w:lang w:val="en-US"/>
        </w:rPr>
        <w:t xml:space="preserve"> </w:t>
      </w:r>
      <w:r w:rsidR="00E24D65">
        <w:rPr>
          <w:color w:val="000000" w:themeColor="text1"/>
          <w:lang w:val="en-US"/>
        </w:rPr>
        <w:t xml:space="preserve">of </w:t>
      </w:r>
      <w:r w:rsidRPr="00FB50CF">
        <w:rPr>
          <w:color w:val="000000" w:themeColor="text1"/>
          <w:lang w:val="en-US"/>
        </w:rPr>
        <w:t xml:space="preserve">the </w:t>
      </w:r>
      <w:r w:rsidR="0045008A" w:rsidRPr="00FB50CF">
        <w:rPr>
          <w:color w:val="000000" w:themeColor="text1"/>
          <w:lang w:val="en-US"/>
        </w:rPr>
        <w:t xml:space="preserve">current and forthcoming </w:t>
      </w:r>
      <w:r w:rsidRPr="00FB50CF">
        <w:rPr>
          <w:color w:val="000000" w:themeColor="text1"/>
          <w:lang w:val="en-US"/>
        </w:rPr>
        <w:t xml:space="preserve">experimental facilities conducting GPD programs are </w:t>
      </w:r>
      <w:r w:rsidR="00E24D65">
        <w:rPr>
          <w:color w:val="000000" w:themeColor="text1"/>
          <w:lang w:val="en-US"/>
        </w:rPr>
        <w:t xml:space="preserve">located </w:t>
      </w:r>
      <w:r w:rsidRPr="00FB50CF">
        <w:rPr>
          <w:color w:val="000000" w:themeColor="text1"/>
          <w:lang w:val="en-US"/>
        </w:rPr>
        <w:t>in the United States</w:t>
      </w:r>
      <w:r w:rsidR="0045008A" w:rsidRPr="00FB50CF">
        <w:rPr>
          <w:color w:val="000000" w:themeColor="text1"/>
          <w:lang w:val="en-US"/>
        </w:rPr>
        <w:t xml:space="preserve"> (</w:t>
      </w:r>
      <w:proofErr w:type="gramStart"/>
      <w:r w:rsidR="0045008A" w:rsidRPr="00E24D65">
        <w:rPr>
          <w:i/>
          <w:iCs/>
          <w:color w:val="000000" w:themeColor="text1"/>
          <w:lang w:val="en-US"/>
        </w:rPr>
        <w:t>e.g.</w:t>
      </w:r>
      <w:proofErr w:type="gramEnd"/>
      <w:r w:rsidR="0045008A" w:rsidRPr="00FB50CF">
        <w:rPr>
          <w:color w:val="000000" w:themeColor="text1"/>
          <w:lang w:val="en-US"/>
        </w:rPr>
        <w:t xml:space="preserve"> </w:t>
      </w:r>
      <w:r w:rsidR="00E24D65">
        <w:rPr>
          <w:color w:val="000000" w:themeColor="text1"/>
          <w:lang w:val="en-US"/>
        </w:rPr>
        <w:t xml:space="preserve">the </w:t>
      </w:r>
      <w:r w:rsidR="0045008A" w:rsidRPr="00FB50CF">
        <w:rPr>
          <w:color w:val="000000" w:themeColor="text1"/>
          <w:lang w:val="en-US"/>
        </w:rPr>
        <w:t>Jefferson Lab</w:t>
      </w:r>
      <w:r w:rsidR="00E24D65">
        <w:rPr>
          <w:color w:val="000000" w:themeColor="text1"/>
          <w:lang w:val="en-US"/>
        </w:rPr>
        <w:t>oratory</w:t>
      </w:r>
      <w:r w:rsidR="0045008A" w:rsidRPr="00FB50CF">
        <w:rPr>
          <w:color w:val="000000" w:themeColor="text1"/>
          <w:lang w:val="en-US"/>
        </w:rPr>
        <w:t xml:space="preserve"> and the Electron-Ion Collider (EIC))</w:t>
      </w:r>
      <w:r w:rsidRPr="00FB50CF">
        <w:rPr>
          <w:color w:val="000000" w:themeColor="text1"/>
          <w:lang w:val="en-US"/>
        </w:rPr>
        <w:t>.</w:t>
      </w:r>
      <w:r w:rsidR="0045008A" w:rsidRPr="00FB50CF">
        <w:rPr>
          <w:color w:val="000000" w:themeColor="text1"/>
          <w:lang w:val="en-US"/>
        </w:rPr>
        <w:t xml:space="preserve"> Moreover,</w:t>
      </w:r>
      <w:r w:rsidRPr="00FB50CF">
        <w:rPr>
          <w:color w:val="000000" w:themeColor="text1"/>
          <w:lang w:val="en-US"/>
        </w:rPr>
        <w:t xml:space="preserve"> </w:t>
      </w:r>
      <w:r w:rsidR="0045008A" w:rsidRPr="00FB50CF">
        <w:rPr>
          <w:color w:val="000000" w:themeColor="text1"/>
          <w:lang w:val="en-US"/>
        </w:rPr>
        <w:t>t</w:t>
      </w:r>
      <w:r w:rsidRPr="00FB50CF">
        <w:rPr>
          <w:color w:val="000000" w:themeColor="text1"/>
          <w:lang w:val="en-US"/>
        </w:rPr>
        <w:t xml:space="preserve">here are </w:t>
      </w:r>
      <w:r w:rsidR="0045008A" w:rsidRPr="00FB50CF">
        <w:rPr>
          <w:color w:val="000000" w:themeColor="text1"/>
          <w:lang w:val="en-US"/>
        </w:rPr>
        <w:t>many</w:t>
      </w:r>
      <w:r w:rsidRPr="00FB50CF">
        <w:rPr>
          <w:color w:val="000000" w:themeColor="text1"/>
          <w:lang w:val="en-US"/>
        </w:rPr>
        <w:t xml:space="preserve"> developers and users of PARTONS in France and Poland</w:t>
      </w:r>
      <w:r w:rsidR="00E24D65">
        <w:rPr>
          <w:color w:val="000000" w:themeColor="text1"/>
          <w:lang w:val="en-US"/>
        </w:rPr>
        <w:t>, which explains the large number of visits from these countries</w:t>
      </w:r>
      <w:r w:rsidRPr="00FB50CF">
        <w:rPr>
          <w:color w:val="000000" w:themeColor="text1"/>
          <w:lang w:val="en-US"/>
        </w:rPr>
        <w:t xml:space="preserve">. The future electron-ion collider </w:t>
      </w:r>
      <w:r w:rsidR="0045008A" w:rsidRPr="00FB50CF">
        <w:rPr>
          <w:color w:val="000000" w:themeColor="text1"/>
          <w:lang w:val="en-US"/>
        </w:rPr>
        <w:t>in China</w:t>
      </w:r>
      <w:r w:rsidRPr="00FB50CF">
        <w:rPr>
          <w:color w:val="000000" w:themeColor="text1"/>
          <w:lang w:val="en-US"/>
        </w:rPr>
        <w:t xml:space="preserve"> </w:t>
      </w:r>
      <w:r w:rsidR="00E24D65">
        <w:rPr>
          <w:color w:val="000000" w:themeColor="text1"/>
          <w:lang w:val="en-US"/>
        </w:rPr>
        <w:t>(</w:t>
      </w:r>
      <w:proofErr w:type="spellStart"/>
      <w:r w:rsidRPr="00FB50CF">
        <w:rPr>
          <w:color w:val="000000" w:themeColor="text1"/>
          <w:lang w:val="en-US"/>
        </w:rPr>
        <w:t>EIcC</w:t>
      </w:r>
      <w:proofErr w:type="spellEnd"/>
      <w:r w:rsidR="00E24D65">
        <w:rPr>
          <w:color w:val="000000" w:themeColor="text1"/>
          <w:lang w:val="en-US"/>
        </w:rPr>
        <w:t>)</w:t>
      </w:r>
      <w:r w:rsidRPr="00FB50CF">
        <w:rPr>
          <w:color w:val="000000" w:themeColor="text1"/>
          <w:lang w:val="en-US"/>
        </w:rPr>
        <w:t xml:space="preserve"> </w:t>
      </w:r>
      <w:r w:rsidR="0045008A" w:rsidRPr="00FB50CF">
        <w:rPr>
          <w:color w:val="000000" w:themeColor="text1"/>
          <w:lang w:val="en-US"/>
        </w:rPr>
        <w:t>explains why there have been a considerable number of visits from this country</w:t>
      </w:r>
      <w:r w:rsidRPr="00FB50CF">
        <w:rPr>
          <w:color w:val="000000" w:themeColor="text1"/>
          <w:lang w:val="en-US"/>
        </w:rPr>
        <w:t xml:space="preserve">. </w:t>
      </w:r>
      <w:r w:rsidR="0045008A" w:rsidRPr="00FB50CF">
        <w:rPr>
          <w:color w:val="000000" w:themeColor="text1"/>
          <w:lang w:val="en-US"/>
        </w:rPr>
        <w:t xml:space="preserve">More surprising </w:t>
      </w:r>
      <w:r w:rsidR="00175C57" w:rsidRPr="00FB50CF">
        <w:rPr>
          <w:color w:val="000000" w:themeColor="text1"/>
          <w:lang w:val="en-US"/>
        </w:rPr>
        <w:t>are</w:t>
      </w:r>
      <w:r w:rsidR="0045008A" w:rsidRPr="00FB50CF">
        <w:rPr>
          <w:color w:val="000000" w:themeColor="text1"/>
          <w:lang w:val="en-US"/>
        </w:rPr>
        <w:t xml:space="preserve"> instead the </w:t>
      </w:r>
      <w:r w:rsidR="00175C57" w:rsidRPr="00FB50CF">
        <w:rPr>
          <w:color w:val="000000" w:themeColor="text1"/>
          <w:lang w:val="en-US"/>
        </w:rPr>
        <w:t xml:space="preserve">large number of accesses from Russia. It </w:t>
      </w:r>
      <w:r w:rsidR="005D35E6">
        <w:rPr>
          <w:color w:val="000000" w:themeColor="text1"/>
          <w:lang w:val="en-US"/>
        </w:rPr>
        <w:t xml:space="preserve">is </w:t>
      </w:r>
      <w:r w:rsidR="00175C57" w:rsidRPr="00FB50CF">
        <w:rPr>
          <w:color w:val="000000" w:themeColor="text1"/>
          <w:lang w:val="en-US"/>
        </w:rPr>
        <w:t xml:space="preserve">conjectured </w:t>
      </w:r>
      <w:r w:rsidR="00175C57" w:rsidRPr="00FB50CF">
        <w:rPr>
          <w:color w:val="000000" w:themeColor="text1"/>
          <w:lang w:val="en-US"/>
        </w:rPr>
        <w:t>that NICA (</w:t>
      </w:r>
      <w:proofErr w:type="spellStart"/>
      <w:r w:rsidR="00175C57" w:rsidRPr="00FB50CF">
        <w:rPr>
          <w:color w:val="000000" w:themeColor="text1"/>
          <w:lang w:val="en-US"/>
        </w:rPr>
        <w:t>Nuclotron</w:t>
      </w:r>
      <w:proofErr w:type="spellEnd"/>
      <w:r w:rsidR="00175C57" w:rsidRPr="00FB50CF">
        <w:rPr>
          <w:color w:val="000000" w:themeColor="text1"/>
          <w:lang w:val="en-US"/>
        </w:rPr>
        <w:t xml:space="preserve">-based Ion Collider </w:t>
      </w:r>
      <w:proofErr w:type="spellStart"/>
      <w:r w:rsidR="00175C57" w:rsidRPr="00FB50CF">
        <w:rPr>
          <w:color w:val="000000" w:themeColor="text1"/>
          <w:lang w:val="en-US"/>
        </w:rPr>
        <w:t>fAсility</w:t>
      </w:r>
      <w:proofErr w:type="spellEnd"/>
      <w:r w:rsidR="00175C57" w:rsidRPr="00FB50CF">
        <w:rPr>
          <w:color w:val="000000" w:themeColor="text1"/>
          <w:lang w:val="en-US"/>
        </w:rPr>
        <w:t>), an accelerator complex designed at the Joint Institute for Nuclear Research (Dubna) to study properties of dense baryonic matter, has catalyzed the number of visits from Russia.</w:t>
      </w:r>
    </w:p>
    <w:p w:rsidR="00C56396" w:rsidRPr="00FB50CF" w:rsidRDefault="00C56396" w:rsidP="00700CE2">
      <w:pPr>
        <w:rPr>
          <w:lang w:val="en-US"/>
        </w:rPr>
      </w:pPr>
    </w:p>
    <w:p w:rsidR="00700CE2" w:rsidRDefault="00C56396" w:rsidP="00650711">
      <w:pPr>
        <w:pStyle w:val="Heading2"/>
        <w:rPr>
          <w:lang w:val="en-US"/>
        </w:rPr>
      </w:pPr>
      <w:r>
        <w:rPr>
          <w:lang w:val="en-US"/>
        </w:rPr>
        <w:t>3.3</w:t>
      </w:r>
      <w:r w:rsidR="00650711">
        <w:rPr>
          <w:lang w:val="en-US"/>
        </w:rPr>
        <w:t xml:space="preserve"> </w:t>
      </w:r>
      <w:r w:rsidR="006532BD" w:rsidRPr="006532BD">
        <w:rPr>
          <w:lang w:val="en-US"/>
        </w:rPr>
        <w:t>Scientific output of the users at the facility</w:t>
      </w:r>
      <w:r>
        <w:rPr>
          <w:lang w:val="en-US"/>
        </w:rPr>
        <w:t xml:space="preserve"> </w:t>
      </w:r>
    </w:p>
    <w:p w:rsidR="00045C2F" w:rsidRDefault="00045C2F" w:rsidP="00FB50CF">
      <w:pPr>
        <w:jc w:val="both"/>
        <w:rPr>
          <w:lang w:val="en-US"/>
        </w:rPr>
      </w:pPr>
    </w:p>
    <w:p w:rsidR="00FB50CF" w:rsidRDefault="00D76789" w:rsidP="00FB50CF">
      <w:pPr>
        <w:jc w:val="both"/>
        <w:rPr>
          <w:lang w:val="en-US"/>
        </w:rPr>
      </w:pPr>
      <w:r>
        <w:rPr>
          <w:lang w:val="en-US"/>
        </w:rPr>
        <w:t>A large number of</w:t>
      </w:r>
      <w:r w:rsidR="007C7FD6">
        <w:rPr>
          <w:lang w:val="en-US"/>
        </w:rPr>
        <w:t xml:space="preserve"> physics and technical results have been achieved during the reference period using the tools provided by the VA2 work package, many of which are still on going. </w:t>
      </w:r>
      <w:r w:rsidR="00FB50CF">
        <w:rPr>
          <w:lang w:val="en-US"/>
        </w:rPr>
        <w:t>Among</w:t>
      </w:r>
      <w:r>
        <w:rPr>
          <w:lang w:val="en-US"/>
        </w:rPr>
        <w:t>st</w:t>
      </w:r>
      <w:r w:rsidR="00FB50CF">
        <w:rPr>
          <w:lang w:val="en-US"/>
        </w:rPr>
        <w:t xml:space="preserve"> the </w:t>
      </w:r>
      <w:r w:rsidR="007C7FD6">
        <w:rPr>
          <w:lang w:val="en-US"/>
        </w:rPr>
        <w:t xml:space="preserve">main </w:t>
      </w:r>
      <w:r w:rsidR="00FB50CF">
        <w:rPr>
          <w:lang w:val="en-US"/>
        </w:rPr>
        <w:t xml:space="preserve">results </w:t>
      </w:r>
      <w:r w:rsidR="007C7FD6">
        <w:rPr>
          <w:lang w:val="en-US"/>
        </w:rPr>
        <w:t>already</w:t>
      </w:r>
      <w:r w:rsidR="00FB50CF">
        <w:rPr>
          <w:lang w:val="en-US"/>
        </w:rPr>
        <w:t xml:space="preserve"> published </w:t>
      </w:r>
      <w:r w:rsidR="007C7FD6">
        <w:rPr>
          <w:lang w:val="en-US"/>
        </w:rPr>
        <w:t xml:space="preserve">or </w:t>
      </w:r>
      <w:r w:rsidR="00445A23">
        <w:rPr>
          <w:lang w:val="en-US"/>
        </w:rPr>
        <w:t xml:space="preserve">under review </w:t>
      </w:r>
      <w:r w:rsidR="00B61423">
        <w:rPr>
          <w:lang w:val="en-US"/>
        </w:rPr>
        <w:t>in peer-revied journals</w:t>
      </w:r>
      <w:r w:rsidR="00FB50CF">
        <w:rPr>
          <w:lang w:val="en-US"/>
        </w:rPr>
        <w:t>, we mention:</w:t>
      </w:r>
    </w:p>
    <w:p w:rsidR="00FB50CF" w:rsidRPr="00CA42B9" w:rsidRDefault="00EA7338" w:rsidP="00EA7338">
      <w:pPr>
        <w:pStyle w:val="ListParagraph"/>
        <w:numPr>
          <w:ilvl w:val="0"/>
          <w:numId w:val="4"/>
        </w:numPr>
        <w:spacing w:after="160" w:line="259" w:lineRule="auto"/>
        <w:jc w:val="both"/>
        <w:rPr>
          <w:lang w:val="en-US"/>
        </w:rPr>
      </w:pPr>
      <w:r>
        <w:rPr>
          <w:lang w:val="en-US"/>
        </w:rPr>
        <w:t>An extraction of unpolarized TMD PDFs of the pion from a fit to experimental data accurate to N</w:t>
      </w:r>
      <w:r w:rsidRPr="00EA7338">
        <w:rPr>
          <w:vertAlign w:val="superscript"/>
          <w:lang w:val="en-US"/>
        </w:rPr>
        <w:t>3</w:t>
      </w:r>
      <w:r>
        <w:rPr>
          <w:lang w:val="en-US"/>
        </w:rPr>
        <w:t>LL</w:t>
      </w:r>
      <w:r w:rsidR="00FB50CF">
        <w:rPr>
          <w:lang w:val="en-US"/>
        </w:rPr>
        <w:t>.</w:t>
      </w:r>
      <w:r w:rsidR="00FB50CF">
        <w:rPr>
          <w:rStyle w:val="FootnoteReference"/>
          <w:lang w:val="en-US"/>
        </w:rPr>
        <w:footnoteReference w:id="2"/>
      </w:r>
    </w:p>
    <w:p w:rsidR="00FB50CF" w:rsidRDefault="00EA7338" w:rsidP="00FB50CF">
      <w:pPr>
        <w:pStyle w:val="ListParagraph"/>
        <w:numPr>
          <w:ilvl w:val="0"/>
          <w:numId w:val="4"/>
        </w:numPr>
        <w:spacing w:after="160" w:line="259" w:lineRule="auto"/>
        <w:jc w:val="both"/>
        <w:rPr>
          <w:lang w:val="en-US"/>
        </w:rPr>
      </w:pPr>
      <w:r>
        <w:rPr>
          <w:lang w:val="en-US"/>
        </w:rPr>
        <w:t>A determination of the GTMDs of the proton exploiting our current knowledge of GPDs and TMDs and including one-loop radiative corrections.</w:t>
      </w:r>
      <w:r w:rsidR="00FB50CF">
        <w:rPr>
          <w:rStyle w:val="FootnoteReference"/>
          <w:lang w:val="en-US"/>
        </w:rPr>
        <w:footnoteReference w:id="3"/>
      </w:r>
    </w:p>
    <w:p w:rsidR="00FB50CF" w:rsidRDefault="00EA7338" w:rsidP="00FB50CF">
      <w:pPr>
        <w:pStyle w:val="ListParagraph"/>
        <w:numPr>
          <w:ilvl w:val="0"/>
          <w:numId w:val="4"/>
        </w:numPr>
        <w:spacing w:after="160" w:line="259" w:lineRule="auto"/>
        <w:jc w:val="both"/>
        <w:rPr>
          <w:lang w:val="en-US"/>
        </w:rPr>
      </w:pPr>
      <w:r>
        <w:rPr>
          <w:lang w:val="en-US"/>
        </w:rPr>
        <w:t>A phenomenological stud</w:t>
      </w:r>
      <w:r w:rsidR="0028775D">
        <w:rPr>
          <w:lang w:val="en-US"/>
        </w:rPr>
        <w:t>y</w:t>
      </w:r>
      <w:r>
        <w:rPr>
          <w:lang w:val="en-US"/>
        </w:rPr>
        <w:t xml:space="preserve"> of the implication of </w:t>
      </w:r>
      <w:r w:rsidR="0028775D">
        <w:rPr>
          <w:lang w:val="en-US"/>
        </w:rPr>
        <w:t xml:space="preserve">the perturbative </w:t>
      </w:r>
      <w:r>
        <w:rPr>
          <w:lang w:val="en-US"/>
        </w:rPr>
        <w:t xml:space="preserve">calculation the PDFs of the electron at current and future </w:t>
      </w:r>
      <w:proofErr w:type="spellStart"/>
      <w:r w:rsidRPr="00EA7338">
        <w:rPr>
          <w:i/>
          <w:iCs/>
          <w:lang w:val="en-US"/>
        </w:rPr>
        <w:t>e</w:t>
      </w:r>
      <w:r w:rsidRPr="00EA7338">
        <w:rPr>
          <w:i/>
          <w:iCs/>
          <w:vertAlign w:val="superscript"/>
          <w:lang w:val="en-US"/>
        </w:rPr>
        <w:t>+</w:t>
      </w:r>
      <w:r w:rsidRPr="00EA7338">
        <w:rPr>
          <w:i/>
          <w:iCs/>
          <w:lang w:val="en-US"/>
        </w:rPr>
        <w:t>e</w:t>
      </w:r>
      <w:proofErr w:type="spellEnd"/>
      <w:r w:rsidRPr="00EA7338">
        <w:rPr>
          <w:i/>
          <w:iCs/>
          <w:vertAlign w:val="superscript"/>
          <w:lang w:val="en-US"/>
        </w:rPr>
        <w:t>-</w:t>
      </w:r>
      <w:r>
        <w:rPr>
          <w:lang w:val="en-US"/>
        </w:rPr>
        <w:t xml:space="preserve"> high-energy colliders.</w:t>
      </w:r>
      <w:r w:rsidR="00FB50CF">
        <w:rPr>
          <w:rStyle w:val="FootnoteReference"/>
          <w:lang w:val="en-US"/>
        </w:rPr>
        <w:footnoteReference w:id="4"/>
      </w:r>
    </w:p>
    <w:p w:rsidR="00FB50CF" w:rsidRDefault="00B61423" w:rsidP="00FB50CF">
      <w:pPr>
        <w:pStyle w:val="ListParagraph"/>
        <w:numPr>
          <w:ilvl w:val="0"/>
          <w:numId w:val="4"/>
        </w:numPr>
        <w:spacing w:after="160" w:line="259" w:lineRule="auto"/>
        <w:jc w:val="both"/>
        <w:rPr>
          <w:lang w:val="en-US"/>
        </w:rPr>
      </w:pPr>
      <w:r>
        <w:rPr>
          <w:lang w:val="en-US"/>
        </w:rPr>
        <w:t xml:space="preserve">An extraction of unpolarized TMD PDFs of the </w:t>
      </w:r>
      <w:r>
        <w:rPr>
          <w:lang w:val="en-US"/>
        </w:rPr>
        <w:t>proton and of the TMD FFs of pion and kaon</w:t>
      </w:r>
      <w:r>
        <w:rPr>
          <w:lang w:val="en-US"/>
        </w:rPr>
        <w:t xml:space="preserve"> from a </w:t>
      </w:r>
      <w:r>
        <w:rPr>
          <w:lang w:val="en-US"/>
        </w:rPr>
        <w:t xml:space="preserve">global </w:t>
      </w:r>
      <w:r>
        <w:rPr>
          <w:lang w:val="en-US"/>
        </w:rPr>
        <w:t xml:space="preserve">fit to experimental data </w:t>
      </w:r>
      <w:r w:rsidR="0028775D">
        <w:rPr>
          <w:lang w:val="en-US"/>
        </w:rPr>
        <w:t>at</w:t>
      </w:r>
      <w:r>
        <w:rPr>
          <w:lang w:val="en-US"/>
        </w:rPr>
        <w:t xml:space="preserve"> N</w:t>
      </w:r>
      <w:r w:rsidRPr="00EA7338">
        <w:rPr>
          <w:vertAlign w:val="superscript"/>
          <w:lang w:val="en-US"/>
        </w:rPr>
        <w:t>3</w:t>
      </w:r>
      <w:r>
        <w:rPr>
          <w:lang w:val="en-US"/>
        </w:rPr>
        <w:t>LL</w:t>
      </w:r>
      <w:r w:rsidR="0028775D">
        <w:rPr>
          <w:lang w:val="en-US"/>
        </w:rPr>
        <w:t xml:space="preserve"> accuracy</w:t>
      </w:r>
      <w:r>
        <w:rPr>
          <w:lang w:val="en-US"/>
        </w:rPr>
        <w:t>.</w:t>
      </w:r>
      <w:r w:rsidR="00FB50CF">
        <w:rPr>
          <w:rStyle w:val="FootnoteReference"/>
          <w:lang w:val="en-US"/>
        </w:rPr>
        <w:footnoteReference w:id="5"/>
      </w:r>
    </w:p>
    <w:p w:rsidR="00FB50CF" w:rsidRDefault="00B61423" w:rsidP="00FB50CF">
      <w:pPr>
        <w:pStyle w:val="ListParagraph"/>
        <w:numPr>
          <w:ilvl w:val="0"/>
          <w:numId w:val="4"/>
        </w:numPr>
        <w:spacing w:after="160" w:line="259" w:lineRule="auto"/>
        <w:jc w:val="both"/>
        <w:rPr>
          <w:lang w:val="en-US"/>
        </w:rPr>
      </w:pPr>
      <w:r w:rsidRPr="00B61423">
        <w:rPr>
          <w:lang w:val="en-US"/>
        </w:rPr>
        <w:t>A method to established a connection between GPDs and PDFs and gauge its accuracy</w:t>
      </w:r>
      <w:r>
        <w:rPr>
          <w:lang w:val="en-US"/>
        </w:rPr>
        <w:t>.</w:t>
      </w:r>
      <w:r w:rsidR="00FB50CF">
        <w:rPr>
          <w:rStyle w:val="FootnoteReference"/>
          <w:lang w:val="en-US"/>
        </w:rPr>
        <w:footnoteReference w:id="6"/>
      </w:r>
    </w:p>
    <w:p w:rsidR="00FB50CF" w:rsidRDefault="00B61423" w:rsidP="00FB50CF">
      <w:pPr>
        <w:pStyle w:val="ListParagraph"/>
        <w:numPr>
          <w:ilvl w:val="0"/>
          <w:numId w:val="4"/>
        </w:numPr>
        <w:spacing w:after="160" w:line="259" w:lineRule="auto"/>
        <w:jc w:val="both"/>
        <w:rPr>
          <w:lang w:val="en-US"/>
        </w:rPr>
      </w:pPr>
      <w:r>
        <w:rPr>
          <w:lang w:val="en-US"/>
        </w:rPr>
        <w:t>A re</w:t>
      </w:r>
      <w:r w:rsidR="00D76789">
        <w:rPr>
          <w:lang w:val="en-US"/>
        </w:rPr>
        <w:t>-</w:t>
      </w:r>
      <w:r>
        <w:rPr>
          <w:lang w:val="en-US"/>
        </w:rPr>
        <w:t xml:space="preserve">computation and implementation of the one-loop evolution kernels </w:t>
      </w:r>
      <w:r w:rsidR="0028775D">
        <w:rPr>
          <w:lang w:val="en-US"/>
        </w:rPr>
        <w:t>for all of the</w:t>
      </w:r>
      <w:r>
        <w:rPr>
          <w:lang w:val="en-US"/>
        </w:rPr>
        <w:t xml:space="preserve"> twist-2 </w:t>
      </w:r>
      <w:r w:rsidR="0028775D">
        <w:rPr>
          <w:lang w:val="en-US"/>
        </w:rPr>
        <w:t xml:space="preserve">quark and gluon </w:t>
      </w:r>
      <w:r>
        <w:rPr>
          <w:lang w:val="en-US"/>
        </w:rPr>
        <w:t>GPDs.</w:t>
      </w:r>
      <w:r w:rsidR="00FB50CF">
        <w:rPr>
          <w:rStyle w:val="FootnoteReference"/>
          <w:lang w:val="en-US"/>
        </w:rPr>
        <w:footnoteReference w:id="7"/>
      </w:r>
    </w:p>
    <w:p w:rsidR="00FB50CF" w:rsidRPr="00CA42B9" w:rsidRDefault="00445A23" w:rsidP="00FB50CF">
      <w:pPr>
        <w:pStyle w:val="ListParagraph"/>
        <w:numPr>
          <w:ilvl w:val="0"/>
          <w:numId w:val="4"/>
        </w:numPr>
        <w:spacing w:after="160" w:line="259" w:lineRule="auto"/>
        <w:jc w:val="both"/>
        <w:rPr>
          <w:lang w:val="en-US"/>
        </w:rPr>
      </w:pPr>
      <w:r>
        <w:rPr>
          <w:lang w:val="en-US"/>
        </w:rPr>
        <w:t>An extraction of h</w:t>
      </w:r>
      <w:r w:rsidRPr="00445A23">
        <w:rPr>
          <w:lang w:val="en-US"/>
        </w:rPr>
        <w:t xml:space="preserve">elicity-dependent </w:t>
      </w:r>
      <w:r w:rsidR="0028775D">
        <w:rPr>
          <w:lang w:val="en-US"/>
        </w:rPr>
        <w:t>PDF</w:t>
      </w:r>
      <w:r w:rsidRPr="00445A23">
        <w:rPr>
          <w:lang w:val="en-US"/>
        </w:rPr>
        <w:t xml:space="preserve">s at </w:t>
      </w:r>
      <w:r>
        <w:rPr>
          <w:lang w:val="en-US"/>
        </w:rPr>
        <w:t>NNLO</w:t>
      </w:r>
      <w:r w:rsidRPr="00445A23">
        <w:rPr>
          <w:lang w:val="en-US"/>
        </w:rPr>
        <w:t xml:space="preserve"> accuracy from inclusive and semi-inclusive deep-inelastic scattering data</w:t>
      </w:r>
      <w:r w:rsidR="0028775D">
        <w:rPr>
          <w:lang w:val="en-US"/>
        </w:rPr>
        <w:t>.</w:t>
      </w:r>
      <w:r w:rsidR="00FB50CF">
        <w:rPr>
          <w:rStyle w:val="FootnoteReference"/>
          <w:lang w:val="en-US"/>
        </w:rPr>
        <w:footnoteReference w:id="8"/>
      </w:r>
    </w:p>
    <w:p w:rsidR="00FB50CF" w:rsidRDefault="00445A23" w:rsidP="00FB50CF">
      <w:pPr>
        <w:pStyle w:val="ListParagraph"/>
        <w:numPr>
          <w:ilvl w:val="0"/>
          <w:numId w:val="5"/>
        </w:numPr>
        <w:spacing w:after="160" w:line="259" w:lineRule="auto"/>
        <w:jc w:val="both"/>
        <w:rPr>
          <w:lang w:val="en-US"/>
        </w:rPr>
      </w:pPr>
      <w:r w:rsidRPr="00445A23">
        <w:rPr>
          <w:lang w:val="en-US"/>
        </w:rPr>
        <w:t>A benchmark of deep-inelastic-scattering structure functions at</w:t>
      </w:r>
      <w:r>
        <w:rPr>
          <w:lang w:val="en-US"/>
        </w:rPr>
        <w:t xml:space="preserve"> N</w:t>
      </w:r>
      <w:r w:rsidRPr="0028775D">
        <w:rPr>
          <w:vertAlign w:val="superscript"/>
          <w:lang w:val="en-US"/>
        </w:rPr>
        <w:t>3</w:t>
      </w:r>
      <w:r>
        <w:rPr>
          <w:lang w:val="en-US"/>
        </w:rPr>
        <w:t>LO accuracy.</w:t>
      </w:r>
      <w:r w:rsidR="00FB50CF">
        <w:rPr>
          <w:rStyle w:val="FootnoteReference"/>
          <w:lang w:val="en-US"/>
        </w:rPr>
        <w:footnoteReference w:id="9"/>
      </w:r>
    </w:p>
    <w:p w:rsidR="00FB50CF" w:rsidRPr="00CA42B9" w:rsidRDefault="00445A23" w:rsidP="00FB50CF">
      <w:pPr>
        <w:pStyle w:val="ListParagraph"/>
        <w:numPr>
          <w:ilvl w:val="0"/>
          <w:numId w:val="4"/>
        </w:numPr>
        <w:spacing w:after="160" w:line="259" w:lineRule="auto"/>
        <w:jc w:val="both"/>
        <w:rPr>
          <w:lang w:val="en-US"/>
        </w:rPr>
      </w:pPr>
      <w:r w:rsidRPr="00445A23">
        <w:rPr>
          <w:lang w:val="en-US"/>
        </w:rPr>
        <w:t xml:space="preserve">A determination of the flavor dependence of unpolarized quark TMDs </w:t>
      </w:r>
      <w:r w:rsidR="0028775D">
        <w:rPr>
          <w:lang w:val="en-US"/>
        </w:rPr>
        <w:t xml:space="preserve">PDFs and FFs </w:t>
      </w:r>
      <w:r w:rsidRPr="00445A23">
        <w:rPr>
          <w:lang w:val="en-US"/>
        </w:rPr>
        <w:t>from a global fit</w:t>
      </w:r>
      <w:r>
        <w:rPr>
          <w:lang w:val="en-US"/>
        </w:rPr>
        <w:t>.</w:t>
      </w:r>
      <w:r w:rsidR="00FB50CF">
        <w:rPr>
          <w:rStyle w:val="FootnoteReference"/>
          <w:lang w:val="en-US"/>
        </w:rPr>
        <w:footnoteReference w:id="10"/>
      </w:r>
    </w:p>
    <w:p w:rsidR="00FB50CF" w:rsidRDefault="00216145" w:rsidP="00FB50CF">
      <w:pPr>
        <w:pStyle w:val="ListParagraph"/>
        <w:numPr>
          <w:ilvl w:val="0"/>
          <w:numId w:val="4"/>
        </w:numPr>
        <w:spacing w:after="160" w:line="259" w:lineRule="auto"/>
        <w:jc w:val="both"/>
        <w:rPr>
          <w:lang w:val="en-US"/>
        </w:rPr>
      </w:pPr>
      <w:r w:rsidRPr="00216145">
        <w:rPr>
          <w:lang w:val="en-US"/>
        </w:rPr>
        <w:t xml:space="preserve">A study of perturbative renormalization-group-equation systematics in precision observables at </w:t>
      </w:r>
      <w:r w:rsidR="0028775D">
        <w:rPr>
          <w:lang w:val="en-US"/>
        </w:rPr>
        <w:t>high-energy colliders</w:t>
      </w:r>
      <w:r>
        <w:rPr>
          <w:lang w:val="en-US"/>
        </w:rPr>
        <w:t>.</w:t>
      </w:r>
      <w:r w:rsidR="00FB50CF">
        <w:rPr>
          <w:rStyle w:val="FootnoteReference"/>
          <w:lang w:val="en-US"/>
        </w:rPr>
        <w:footnoteReference w:id="11"/>
      </w:r>
    </w:p>
    <w:p w:rsidR="00FB50CF" w:rsidRDefault="0093448F" w:rsidP="00FB50CF">
      <w:pPr>
        <w:pStyle w:val="ListParagraph"/>
        <w:numPr>
          <w:ilvl w:val="0"/>
          <w:numId w:val="4"/>
        </w:numPr>
        <w:spacing w:after="160" w:line="259" w:lineRule="auto"/>
        <w:jc w:val="both"/>
        <w:rPr>
          <w:lang w:val="en-US"/>
        </w:rPr>
      </w:pPr>
      <w:r w:rsidRPr="0093448F">
        <w:rPr>
          <w:lang w:val="en-US"/>
        </w:rPr>
        <w:t xml:space="preserve">A combination of lattice QCD and phenomenological inputs to </w:t>
      </w:r>
      <w:r w:rsidR="0028775D" w:rsidRPr="0093448F">
        <w:rPr>
          <w:lang w:val="en-US"/>
        </w:rPr>
        <w:t>constrain</w:t>
      </w:r>
      <w:r w:rsidRPr="0093448F">
        <w:rPr>
          <w:lang w:val="en-US"/>
        </w:rPr>
        <w:t xml:space="preserve"> GPDs at moderate skewness</w:t>
      </w:r>
      <w:r>
        <w:rPr>
          <w:lang w:val="en-US"/>
        </w:rPr>
        <w:t>.</w:t>
      </w:r>
      <w:r w:rsidR="00FB50CF">
        <w:rPr>
          <w:rStyle w:val="FootnoteReference"/>
          <w:lang w:val="en-US"/>
        </w:rPr>
        <w:footnoteReference w:id="12"/>
      </w:r>
    </w:p>
    <w:p w:rsidR="00FB50CF" w:rsidRDefault="0028775D" w:rsidP="00FB50CF">
      <w:pPr>
        <w:pStyle w:val="ListParagraph"/>
        <w:numPr>
          <w:ilvl w:val="0"/>
          <w:numId w:val="4"/>
        </w:numPr>
        <w:spacing w:after="160" w:line="259" w:lineRule="auto"/>
        <w:jc w:val="both"/>
        <w:rPr>
          <w:lang w:val="en-US"/>
        </w:rPr>
      </w:pPr>
      <w:r>
        <w:rPr>
          <w:lang w:val="en-US"/>
        </w:rPr>
        <w:t>A study of</w:t>
      </w:r>
      <w:r w:rsidR="008D4AED" w:rsidRPr="008D4AED">
        <w:rPr>
          <w:lang w:val="en-US"/>
        </w:rPr>
        <w:t xml:space="preserve"> </w:t>
      </w:r>
      <w:r>
        <w:rPr>
          <w:lang w:val="en-US"/>
        </w:rPr>
        <w:t>the implications of</w:t>
      </w:r>
      <w:r w:rsidR="008D4AED" w:rsidRPr="008D4AED">
        <w:rPr>
          <w:lang w:val="en-US"/>
        </w:rPr>
        <w:t xml:space="preserve"> Lorentz symmetry and partial DGLAP knowledge</w:t>
      </w:r>
      <w:r>
        <w:rPr>
          <w:lang w:val="en-US"/>
        </w:rPr>
        <w:t xml:space="preserve"> on our knowledge of GPDs</w:t>
      </w:r>
      <w:r w:rsidR="00FB50CF">
        <w:rPr>
          <w:lang w:val="en-US"/>
        </w:rPr>
        <w:t>.</w:t>
      </w:r>
      <w:r w:rsidR="008D4AED">
        <w:rPr>
          <w:rStyle w:val="FootnoteReference"/>
          <w:lang w:val="en-US"/>
        </w:rPr>
        <w:footnoteReference w:id="13"/>
      </w:r>
    </w:p>
    <w:p w:rsidR="008D4AED" w:rsidRDefault="008D4AED" w:rsidP="00FB50CF">
      <w:pPr>
        <w:pStyle w:val="ListParagraph"/>
        <w:numPr>
          <w:ilvl w:val="0"/>
          <w:numId w:val="4"/>
        </w:numPr>
        <w:spacing w:after="160" w:line="259" w:lineRule="auto"/>
        <w:jc w:val="both"/>
        <w:rPr>
          <w:lang w:val="en-US"/>
        </w:rPr>
      </w:pPr>
      <w:r w:rsidRPr="008D4AED">
        <w:rPr>
          <w:lang w:val="en-US"/>
        </w:rPr>
        <w:t xml:space="preserve">An extraction of the distribution amplitude of the </w:t>
      </w:r>
      <w:proofErr w:type="spellStart"/>
      <w:r w:rsidRPr="008D4AED">
        <w:rPr>
          <w:i/>
          <w:iCs/>
          <w:lang w:val="en-US"/>
        </w:rPr>
        <w:t>η</w:t>
      </w:r>
      <w:r w:rsidRPr="008D4AED">
        <w:rPr>
          <w:i/>
          <w:iCs/>
          <w:vertAlign w:val="subscript"/>
          <w:lang w:val="en-US"/>
        </w:rPr>
        <w:t>c</w:t>
      </w:r>
      <w:proofErr w:type="spellEnd"/>
      <w:r w:rsidRPr="008D4AED">
        <w:rPr>
          <w:lang w:val="en-US"/>
        </w:rPr>
        <w:t>-meson at leading twist from lattice QCD</w:t>
      </w:r>
      <w:r>
        <w:rPr>
          <w:lang w:val="en-US"/>
        </w:rPr>
        <w:t>.</w:t>
      </w:r>
      <w:r>
        <w:rPr>
          <w:rStyle w:val="FootnoteReference"/>
          <w:lang w:val="en-US"/>
        </w:rPr>
        <w:footnoteReference w:id="14"/>
      </w:r>
    </w:p>
    <w:p w:rsidR="008D4AED" w:rsidRDefault="008D4AED" w:rsidP="00FB50CF">
      <w:pPr>
        <w:pStyle w:val="ListParagraph"/>
        <w:numPr>
          <w:ilvl w:val="0"/>
          <w:numId w:val="4"/>
        </w:numPr>
        <w:spacing w:after="160" w:line="259" w:lineRule="auto"/>
        <w:jc w:val="both"/>
        <w:rPr>
          <w:lang w:val="en-US"/>
        </w:rPr>
      </w:pPr>
      <w:r w:rsidRPr="008D4AED">
        <w:rPr>
          <w:lang w:val="en-US"/>
        </w:rPr>
        <w:t xml:space="preserve">A study of exclusive vector-quarkonium photoproduction at NLO in </w:t>
      </w:r>
      <w:r w:rsidRPr="008D4AED">
        <w:rPr>
          <w:i/>
          <w:iCs/>
          <w:lang w:val="el-GR"/>
        </w:rPr>
        <w:t>α</w:t>
      </w:r>
      <w:r w:rsidRPr="008D4AED">
        <w:rPr>
          <w:i/>
          <w:iCs/>
          <w:vertAlign w:val="subscript"/>
          <w:lang w:val="en-US"/>
        </w:rPr>
        <w:t>s</w:t>
      </w:r>
      <w:r w:rsidRPr="008D4AED">
        <w:rPr>
          <w:lang w:val="en-US"/>
        </w:rPr>
        <w:t xml:space="preserve"> in collinear </w:t>
      </w:r>
      <w:r w:rsidRPr="008D4AED">
        <w:rPr>
          <w:lang w:val="en-US"/>
        </w:rPr>
        <w:t>factorization</w:t>
      </w:r>
      <w:r w:rsidRPr="008D4AED">
        <w:rPr>
          <w:lang w:val="en-US"/>
        </w:rPr>
        <w:t xml:space="preserve"> </w:t>
      </w:r>
      <w:r w:rsidR="0028775D">
        <w:rPr>
          <w:lang w:val="en-US"/>
        </w:rPr>
        <w:t xml:space="preserve">including </w:t>
      </w:r>
      <w:r w:rsidRPr="008D4AED">
        <w:rPr>
          <w:lang w:val="en-US"/>
        </w:rPr>
        <w:t xml:space="preserve">evolution </w:t>
      </w:r>
      <w:r w:rsidR="0028775D">
        <w:rPr>
          <w:lang w:val="en-US"/>
        </w:rPr>
        <w:t xml:space="preserve">effects </w:t>
      </w:r>
      <w:r w:rsidRPr="008D4AED">
        <w:rPr>
          <w:lang w:val="en-US"/>
        </w:rPr>
        <w:t xml:space="preserve">of the </w:t>
      </w:r>
      <w:r w:rsidR="0028775D">
        <w:rPr>
          <w:lang w:val="en-US"/>
        </w:rPr>
        <w:t xml:space="preserve">GPDs </w:t>
      </w:r>
      <w:r w:rsidRPr="008D4AED">
        <w:rPr>
          <w:lang w:val="en-US"/>
        </w:rPr>
        <w:t>and high-energy resummation</w:t>
      </w:r>
      <w:r>
        <w:rPr>
          <w:lang w:val="en-US"/>
        </w:rPr>
        <w:t>.</w:t>
      </w:r>
      <w:r>
        <w:rPr>
          <w:rStyle w:val="FootnoteReference"/>
          <w:lang w:val="en-US"/>
        </w:rPr>
        <w:footnoteReference w:id="15"/>
      </w:r>
    </w:p>
    <w:p w:rsidR="007274C7" w:rsidRDefault="007274C7" w:rsidP="00FB50CF">
      <w:pPr>
        <w:pStyle w:val="ListParagraph"/>
        <w:numPr>
          <w:ilvl w:val="0"/>
          <w:numId w:val="4"/>
        </w:numPr>
        <w:spacing w:after="160" w:line="259" w:lineRule="auto"/>
        <w:jc w:val="both"/>
        <w:rPr>
          <w:lang w:val="en-US"/>
        </w:rPr>
      </w:pPr>
      <w:r w:rsidRPr="007274C7">
        <w:rPr>
          <w:lang w:val="en-US"/>
        </w:rPr>
        <w:lastRenderedPageBreak/>
        <w:t>A systematic description of hadron’s response to nonlocal QCD probes</w:t>
      </w:r>
      <w:r w:rsidR="0028775D">
        <w:rPr>
          <w:lang w:val="en-US"/>
        </w:rPr>
        <w:t xml:space="preserve"> by means of</w:t>
      </w:r>
      <w:r w:rsidRPr="007274C7">
        <w:rPr>
          <w:lang w:val="en-US"/>
        </w:rPr>
        <w:t xml:space="preserve"> Froissart-</w:t>
      </w:r>
      <w:proofErr w:type="spellStart"/>
      <w:r w:rsidRPr="007274C7">
        <w:rPr>
          <w:lang w:val="en-US"/>
        </w:rPr>
        <w:t>Gribov</w:t>
      </w:r>
      <w:proofErr w:type="spellEnd"/>
      <w:r w:rsidRPr="007274C7">
        <w:rPr>
          <w:lang w:val="en-US"/>
        </w:rPr>
        <w:t xml:space="preserve"> projections in </w:t>
      </w:r>
      <w:r w:rsidR="0028775D">
        <w:rPr>
          <w:lang w:val="en-US"/>
        </w:rPr>
        <w:t xml:space="preserve">an </w:t>
      </w:r>
      <w:r w:rsidRPr="007274C7">
        <w:rPr>
          <w:lang w:val="en-US"/>
        </w:rPr>
        <w:t>analysis of deeply virtual Compton scattering.</w:t>
      </w:r>
      <w:r>
        <w:rPr>
          <w:rStyle w:val="FootnoteReference"/>
          <w:lang w:val="en-US"/>
        </w:rPr>
        <w:footnoteReference w:id="16"/>
      </w:r>
    </w:p>
    <w:p w:rsidR="007274C7" w:rsidRPr="0028775D" w:rsidRDefault="007274C7" w:rsidP="0028775D">
      <w:pPr>
        <w:pStyle w:val="ListParagraph"/>
        <w:numPr>
          <w:ilvl w:val="0"/>
          <w:numId w:val="4"/>
        </w:numPr>
        <w:spacing w:after="160" w:line="259" w:lineRule="auto"/>
        <w:jc w:val="both"/>
        <w:rPr>
          <w:lang w:val="en-US"/>
        </w:rPr>
      </w:pPr>
      <w:r w:rsidRPr="007274C7">
        <w:rPr>
          <w:lang w:val="en-US"/>
        </w:rPr>
        <w:t>A phenomenology study of double deeply virtual Compton scattering in the era of new</w:t>
      </w:r>
      <w:r w:rsidR="0028775D">
        <w:rPr>
          <w:lang w:val="en-US"/>
        </w:rPr>
        <w:t xml:space="preserve"> e</w:t>
      </w:r>
      <w:r w:rsidRPr="0028775D">
        <w:rPr>
          <w:lang w:val="en-US"/>
        </w:rPr>
        <w:t>xperiments</w:t>
      </w:r>
      <w:r w:rsidRPr="0028775D">
        <w:rPr>
          <w:lang w:val="en-US"/>
        </w:rPr>
        <w:t>.</w:t>
      </w:r>
      <w:r>
        <w:rPr>
          <w:rStyle w:val="FootnoteReference"/>
          <w:lang w:val="en-US"/>
        </w:rPr>
        <w:footnoteReference w:id="17"/>
      </w:r>
    </w:p>
    <w:p w:rsidR="007274C7" w:rsidRDefault="007274C7" w:rsidP="007274C7">
      <w:pPr>
        <w:pStyle w:val="ListParagraph"/>
        <w:numPr>
          <w:ilvl w:val="0"/>
          <w:numId w:val="4"/>
        </w:numPr>
        <w:spacing w:after="160" w:line="259" w:lineRule="auto"/>
        <w:jc w:val="both"/>
        <w:rPr>
          <w:lang w:val="en-US"/>
        </w:rPr>
      </w:pPr>
      <w:r>
        <w:rPr>
          <w:lang w:val="en-US"/>
        </w:rPr>
        <w:t>A p</w:t>
      </w:r>
      <w:r w:rsidRPr="007274C7">
        <w:rPr>
          <w:lang w:val="en-US"/>
        </w:rPr>
        <w:t xml:space="preserve">aper describing the </w:t>
      </w:r>
      <w:proofErr w:type="spellStart"/>
      <w:r w:rsidRPr="007274C7">
        <w:rPr>
          <w:lang w:val="en-US"/>
        </w:rPr>
        <w:t>EpIC</w:t>
      </w:r>
      <w:proofErr w:type="spellEnd"/>
      <w:r w:rsidRPr="007274C7">
        <w:rPr>
          <w:lang w:val="en-US"/>
        </w:rPr>
        <w:t xml:space="preserve"> Monte Carlo generator for exclusive processes</w:t>
      </w:r>
      <w:r>
        <w:rPr>
          <w:lang w:val="en-US"/>
        </w:rPr>
        <w:t>.</w:t>
      </w:r>
      <w:r>
        <w:rPr>
          <w:rStyle w:val="FootnoteReference"/>
          <w:lang w:val="en-US"/>
        </w:rPr>
        <w:footnoteReference w:id="18"/>
      </w:r>
    </w:p>
    <w:p w:rsidR="007274C7" w:rsidRDefault="007274C7" w:rsidP="007274C7">
      <w:pPr>
        <w:pStyle w:val="ListParagraph"/>
        <w:numPr>
          <w:ilvl w:val="0"/>
          <w:numId w:val="4"/>
        </w:numPr>
        <w:spacing w:after="160" w:line="259" w:lineRule="auto"/>
        <w:jc w:val="both"/>
        <w:rPr>
          <w:lang w:val="en-US"/>
        </w:rPr>
      </w:pPr>
      <w:r w:rsidRPr="007274C7">
        <w:rPr>
          <w:lang w:val="en-US"/>
        </w:rPr>
        <w:t xml:space="preserve">A phenomenological study of diphoton photoproduction at </w:t>
      </w:r>
      <w:r w:rsidR="0028775D">
        <w:rPr>
          <w:lang w:val="en-US"/>
        </w:rPr>
        <w:t>NLO accuracy</w:t>
      </w:r>
      <w:r>
        <w:rPr>
          <w:lang w:val="en-US"/>
        </w:rPr>
        <w:t>.</w:t>
      </w:r>
      <w:r>
        <w:rPr>
          <w:rStyle w:val="FootnoteReference"/>
          <w:lang w:val="en-US"/>
        </w:rPr>
        <w:footnoteReference w:id="19"/>
      </w:r>
    </w:p>
    <w:p w:rsidR="00B06E93" w:rsidRPr="00463EE2" w:rsidRDefault="00B06E93" w:rsidP="007274C7">
      <w:pPr>
        <w:pStyle w:val="ListParagraph"/>
        <w:numPr>
          <w:ilvl w:val="0"/>
          <w:numId w:val="4"/>
        </w:numPr>
        <w:spacing w:after="160" w:line="259" w:lineRule="auto"/>
        <w:jc w:val="both"/>
        <w:rPr>
          <w:lang w:val="en-US"/>
        </w:rPr>
      </w:pPr>
      <w:r w:rsidRPr="00B06E93">
        <w:rPr>
          <w:lang w:val="en-US"/>
        </w:rPr>
        <w:t xml:space="preserve">A study of the evolution of </w:t>
      </w:r>
      <w:r w:rsidR="0028775D">
        <w:rPr>
          <w:lang w:val="en-US"/>
        </w:rPr>
        <w:t>PDFs</w:t>
      </w:r>
      <w:r w:rsidRPr="00B06E93">
        <w:rPr>
          <w:lang w:val="en-US"/>
        </w:rPr>
        <w:t xml:space="preserve"> in the short-distance factorization scheme</w:t>
      </w:r>
      <w:r>
        <w:rPr>
          <w:lang w:val="en-US"/>
        </w:rPr>
        <w:t>.</w:t>
      </w:r>
      <w:r>
        <w:rPr>
          <w:rStyle w:val="FootnoteReference"/>
          <w:lang w:val="en-US"/>
        </w:rPr>
        <w:footnoteReference w:id="20"/>
      </w:r>
    </w:p>
    <w:p w:rsidR="00FB50CF" w:rsidRDefault="0028775D" w:rsidP="00FB50CF">
      <w:pPr>
        <w:jc w:val="both"/>
        <w:rPr>
          <w:lang w:val="en-US"/>
        </w:rPr>
      </w:pPr>
      <w:r>
        <w:rPr>
          <w:lang w:val="en-US"/>
        </w:rPr>
        <w:t>Almost a</w:t>
      </w:r>
      <w:r w:rsidR="00FB50CF">
        <w:rPr>
          <w:lang w:val="en-US"/>
        </w:rPr>
        <w:t xml:space="preserve">ll </w:t>
      </w:r>
      <w:r w:rsidR="00FB50CF">
        <w:rPr>
          <w:lang w:val="en-US"/>
        </w:rPr>
        <w:t xml:space="preserve">of </w:t>
      </w:r>
      <w:r w:rsidR="00FB50CF">
        <w:rPr>
          <w:lang w:val="en-US"/>
        </w:rPr>
        <w:t xml:space="preserve">these </w:t>
      </w:r>
      <w:r w:rsidR="00FB50CF">
        <w:rPr>
          <w:lang w:val="en-US"/>
        </w:rPr>
        <w:t>publications</w:t>
      </w:r>
      <w:r w:rsidR="00FB50CF">
        <w:rPr>
          <w:lang w:val="en-US"/>
        </w:rPr>
        <w:t xml:space="preserve"> have been presented </w:t>
      </w:r>
      <w:r w:rsidR="00FB50CF">
        <w:rPr>
          <w:lang w:val="en-US"/>
        </w:rPr>
        <w:t>at</w:t>
      </w:r>
      <w:r w:rsidR="00FB50CF">
        <w:rPr>
          <w:lang w:val="en-US"/>
        </w:rPr>
        <w:t xml:space="preserve"> international conferences, workshops</w:t>
      </w:r>
      <w:r>
        <w:rPr>
          <w:lang w:val="en-US"/>
        </w:rPr>
        <w:t>,</w:t>
      </w:r>
      <w:r w:rsidR="00FB50CF">
        <w:rPr>
          <w:lang w:val="en-US"/>
        </w:rPr>
        <w:t xml:space="preserve"> or schools</w:t>
      </w:r>
      <w:r w:rsidR="00FB50CF">
        <w:rPr>
          <w:lang w:val="en-US"/>
        </w:rPr>
        <w:t xml:space="preserve">. </w:t>
      </w:r>
      <w:r>
        <w:rPr>
          <w:lang w:val="en-US"/>
        </w:rPr>
        <w:t>However, w</w:t>
      </w:r>
      <w:r w:rsidR="00FB50CF">
        <w:rPr>
          <w:lang w:val="en-US"/>
        </w:rPr>
        <w:t xml:space="preserve">e </w:t>
      </w:r>
      <w:r w:rsidR="00FB50CF">
        <w:rPr>
          <w:lang w:val="en-US"/>
        </w:rPr>
        <w:t xml:space="preserve">do not </w:t>
      </w:r>
      <w:r w:rsidR="00FB50CF">
        <w:rPr>
          <w:lang w:val="en-US"/>
        </w:rPr>
        <w:t>attempt</w:t>
      </w:r>
      <w:r w:rsidR="00D76789">
        <w:rPr>
          <w:lang w:val="en-US"/>
        </w:rPr>
        <w:t xml:space="preserve"> </w:t>
      </w:r>
      <w:r w:rsidR="00FB50CF">
        <w:rPr>
          <w:lang w:val="en-US"/>
        </w:rPr>
        <w:t>to list all oral contributions here.</w:t>
      </w:r>
    </w:p>
    <w:p w:rsidR="00FB50CF" w:rsidRDefault="00FB50CF" w:rsidP="00FB50CF">
      <w:pPr>
        <w:jc w:val="both"/>
        <w:rPr>
          <w:lang w:val="en-US"/>
        </w:rPr>
      </w:pPr>
    </w:p>
    <w:p w:rsidR="0035541F" w:rsidRDefault="007C7FD6" w:rsidP="002A5C14">
      <w:pPr>
        <w:jc w:val="both"/>
        <w:rPr>
          <w:i/>
          <w:lang w:val="en-US"/>
        </w:rPr>
        <w:sectPr w:rsidR="0035541F">
          <w:pgSz w:w="11906" w:h="16838"/>
          <w:pgMar w:top="1417" w:right="1417" w:bottom="1417" w:left="1417" w:header="708" w:footer="708" w:gutter="0"/>
          <w:cols w:space="708"/>
          <w:docGrid w:linePitch="360"/>
        </w:sectPr>
      </w:pPr>
      <w:r>
        <w:rPr>
          <w:lang w:val="en-US"/>
        </w:rPr>
        <w:t>While collecting</w:t>
      </w:r>
      <w:r w:rsidR="00FB50CF">
        <w:rPr>
          <w:lang w:val="en-US"/>
        </w:rPr>
        <w:t xml:space="preserve"> the physics output of </w:t>
      </w:r>
      <w:r>
        <w:rPr>
          <w:lang w:val="en-US"/>
        </w:rPr>
        <w:t>VA2</w:t>
      </w:r>
      <w:r w:rsidR="00FB50CF">
        <w:rPr>
          <w:lang w:val="en-US"/>
        </w:rPr>
        <w:t xml:space="preserve"> users, we observed that some of them merely cit</w:t>
      </w:r>
      <w:r w:rsidR="00CF651B">
        <w:rPr>
          <w:lang w:val="en-US"/>
        </w:rPr>
        <w:t>e</w:t>
      </w:r>
      <w:r w:rsidR="00FB50CF">
        <w:rPr>
          <w:lang w:val="en-US"/>
        </w:rPr>
        <w:t xml:space="preserve"> the </w:t>
      </w:r>
      <w:r>
        <w:rPr>
          <w:lang w:val="en-US"/>
        </w:rPr>
        <w:t xml:space="preserve">original </w:t>
      </w:r>
      <w:r w:rsidR="00FB50CF">
        <w:rPr>
          <w:lang w:val="en-US"/>
        </w:rPr>
        <w:t>paper describing the PARTONS framework</w:t>
      </w:r>
      <w:r w:rsidR="00CF651B">
        <w:rPr>
          <w:lang w:val="en-US"/>
        </w:rPr>
        <w:t>,</w:t>
      </w:r>
      <w:r>
        <w:rPr>
          <w:rStyle w:val="FootnoteReference"/>
          <w:lang w:val="en-US"/>
        </w:rPr>
        <w:footnoteReference w:id="21"/>
      </w:r>
      <w:r w:rsidR="00FB50CF">
        <w:rPr>
          <w:lang w:val="en-US"/>
        </w:rPr>
        <w:t xml:space="preserve"> and </w:t>
      </w:r>
      <w:r w:rsidR="00CF651B">
        <w:rPr>
          <w:lang w:val="en-US"/>
        </w:rPr>
        <w:t>do</w:t>
      </w:r>
      <w:r w:rsidR="00FB50CF">
        <w:rPr>
          <w:lang w:val="en-US"/>
        </w:rPr>
        <w:t xml:space="preserve"> not</w:t>
      </w:r>
      <w:r>
        <w:rPr>
          <w:lang w:val="en-US"/>
        </w:rPr>
        <w:t xml:space="preserve"> includ</w:t>
      </w:r>
      <w:r w:rsidR="00CF651B">
        <w:rPr>
          <w:lang w:val="en-US"/>
        </w:rPr>
        <w:t>e</w:t>
      </w:r>
      <w:r>
        <w:rPr>
          <w:lang w:val="en-US"/>
        </w:rPr>
        <w:t xml:space="preserve"> </w:t>
      </w:r>
      <w:r w:rsidR="00CF651B">
        <w:rPr>
          <w:lang w:val="en-US"/>
        </w:rPr>
        <w:t>in the acknowledgments</w:t>
      </w:r>
      <w:r w:rsidR="00CF651B">
        <w:rPr>
          <w:lang w:val="en-US"/>
        </w:rPr>
        <w:t xml:space="preserve"> </w:t>
      </w:r>
      <w:r>
        <w:rPr>
          <w:lang w:val="en-US"/>
        </w:rPr>
        <w:t xml:space="preserve">the </w:t>
      </w:r>
      <w:r w:rsidR="00FB50CF">
        <w:rPr>
          <w:lang w:val="en-US"/>
        </w:rPr>
        <w:t>sentence</w:t>
      </w:r>
      <w:r w:rsidR="0028775D">
        <w:rPr>
          <w:lang w:val="en-US"/>
        </w:rPr>
        <w:t>:</w:t>
      </w:r>
      <w:r w:rsidR="00FB50CF">
        <w:rPr>
          <w:lang w:val="en-US"/>
        </w:rPr>
        <w:t xml:space="preserve"> </w:t>
      </w:r>
      <w:r w:rsidR="00FB50CF" w:rsidRPr="001705E1">
        <w:rPr>
          <w:i/>
          <w:iCs/>
          <w:lang w:val="en-US"/>
        </w:rPr>
        <w:t xml:space="preserve">“The virtual access infrastructure 3DPartons has received funding from the European Union’s Horizon 2020 research and innovation </w:t>
      </w:r>
      <w:proofErr w:type="spellStart"/>
      <w:r w:rsidR="00FB50CF" w:rsidRPr="001705E1">
        <w:rPr>
          <w:i/>
          <w:iCs/>
          <w:lang w:val="en-US"/>
        </w:rPr>
        <w:t>programme</w:t>
      </w:r>
      <w:proofErr w:type="spellEnd"/>
      <w:r w:rsidR="00FB50CF" w:rsidRPr="001705E1">
        <w:rPr>
          <w:i/>
          <w:iCs/>
          <w:lang w:val="en-US"/>
        </w:rPr>
        <w:t xml:space="preserve"> under grant agreement No 824093</w:t>
      </w:r>
      <w:r w:rsidR="00CF651B">
        <w:rPr>
          <w:i/>
          <w:iCs/>
          <w:lang w:val="en-US"/>
        </w:rPr>
        <w:t>.</w:t>
      </w:r>
      <w:r w:rsidR="00FB50CF" w:rsidRPr="001705E1">
        <w:rPr>
          <w:i/>
          <w:iCs/>
          <w:lang w:val="en-US"/>
        </w:rPr>
        <w:t>”</w:t>
      </w:r>
      <w:r w:rsidR="00FB50CF">
        <w:rPr>
          <w:lang w:val="en-US"/>
        </w:rPr>
        <w:t xml:space="preserve"> </w:t>
      </w:r>
      <w:r>
        <w:rPr>
          <w:lang w:val="en-US"/>
        </w:rPr>
        <w:t>To contrast this phenomenon</w:t>
      </w:r>
      <w:r w:rsidR="00FB50CF">
        <w:rPr>
          <w:lang w:val="en-US"/>
        </w:rPr>
        <w:t xml:space="preserve">, an explicit statement in the section “License and reference” of the </w:t>
      </w:r>
      <w:r w:rsidR="0028775D">
        <w:rPr>
          <w:lang w:val="en-US"/>
        </w:rPr>
        <w:t xml:space="preserve">main page of the </w:t>
      </w:r>
      <w:r>
        <w:rPr>
          <w:lang w:val="en-US"/>
        </w:rPr>
        <w:t xml:space="preserve">PARTONS </w:t>
      </w:r>
      <w:r w:rsidR="00FB50CF">
        <w:rPr>
          <w:lang w:val="en-US"/>
        </w:rPr>
        <w:t>web</w:t>
      </w:r>
      <w:r w:rsidR="0028775D">
        <w:rPr>
          <w:lang w:val="en-US"/>
        </w:rPr>
        <w:t>site</w:t>
      </w:r>
      <w:r w:rsidR="00FB50CF">
        <w:rPr>
          <w:lang w:val="en-US"/>
        </w:rPr>
        <w:t xml:space="preserve"> </w:t>
      </w:r>
      <w:r w:rsidR="0028775D">
        <w:rPr>
          <w:lang w:val="en-US"/>
        </w:rPr>
        <w:t>(</w:t>
      </w:r>
      <w:hyperlink r:id="rId13" w:history="1">
        <w:r w:rsidR="0028775D" w:rsidRPr="00A64EEA">
          <w:rPr>
            <w:rStyle w:val="Hyperlink"/>
            <w:lang w:val="en-US"/>
          </w:rPr>
          <w:t>http://partons.cea.fr</w:t>
        </w:r>
      </w:hyperlink>
      <w:r w:rsidR="0028775D">
        <w:rPr>
          <w:lang w:val="en-US"/>
        </w:rPr>
        <w:t xml:space="preserve">) </w:t>
      </w:r>
      <w:r>
        <w:rPr>
          <w:lang w:val="en-US"/>
        </w:rPr>
        <w:t>has been added</w:t>
      </w:r>
      <w:r w:rsidR="00FB50CF">
        <w:rPr>
          <w:lang w:val="en-US"/>
        </w:rPr>
        <w:t xml:space="preserve">. </w:t>
      </w:r>
      <w:r>
        <w:rPr>
          <w:lang w:val="en-US"/>
        </w:rPr>
        <w:t xml:space="preserve">In this respect, it is worth stressing that the work carried out within VA2 is likely to have a </w:t>
      </w:r>
      <w:r w:rsidR="00CF651B">
        <w:rPr>
          <w:lang w:val="en-US"/>
        </w:rPr>
        <w:t>farther-reaching</w:t>
      </w:r>
      <w:r>
        <w:rPr>
          <w:lang w:val="en-US"/>
        </w:rPr>
        <w:t xml:space="preserve"> impact on the hadron structure community than that conveyed by the list of papers given above.</w:t>
      </w:r>
      <w:r w:rsidR="002A5C14">
        <w:rPr>
          <w:i/>
          <w:lang w:val="en-US"/>
        </w:rPr>
        <w:t xml:space="preserve"> </w:t>
      </w:r>
    </w:p>
    <w:p w:rsidR="0035541F" w:rsidRDefault="00D665FE" w:rsidP="0035541F">
      <w:pPr>
        <w:pStyle w:val="Heading1"/>
        <w:rPr>
          <w:lang w:val="en-US"/>
        </w:rPr>
      </w:pPr>
      <w:r>
        <w:rPr>
          <w:lang w:val="en-US"/>
        </w:rPr>
        <w:lastRenderedPageBreak/>
        <w:t>4</w:t>
      </w:r>
      <w:r w:rsidR="0035541F">
        <w:rPr>
          <w:lang w:val="en-US"/>
        </w:rPr>
        <w:t>.</w:t>
      </w:r>
      <w:r w:rsidR="003E7374">
        <w:rPr>
          <w:lang w:val="en-US"/>
        </w:rPr>
        <w:t xml:space="preserve"> </w:t>
      </w:r>
      <w:r w:rsidR="0035541F" w:rsidRPr="004F4460">
        <w:rPr>
          <w:lang w:val="en-US"/>
        </w:rPr>
        <w:t>Tables to be filled in the IT tool in Part A of the</w:t>
      </w:r>
      <w:r w:rsidR="0035541F">
        <w:rPr>
          <w:lang w:val="en-US"/>
        </w:rPr>
        <w:t xml:space="preserve"> </w:t>
      </w:r>
      <w:r w:rsidR="0035541F" w:rsidRPr="004F4460">
        <w:rPr>
          <w:lang w:val="en-US"/>
        </w:rPr>
        <w:t xml:space="preserve">Periodic Report </w:t>
      </w:r>
    </w:p>
    <w:p w:rsidR="0035541F" w:rsidRPr="0066462A" w:rsidRDefault="00D665FE" w:rsidP="0035541F">
      <w:pPr>
        <w:pStyle w:val="ListParagraph"/>
        <w:ind w:left="0"/>
        <w:rPr>
          <w:b/>
          <w:i/>
          <w:lang w:val="en-US"/>
        </w:rPr>
      </w:pPr>
      <w:r>
        <w:rPr>
          <w:b/>
          <w:i/>
          <w:lang w:val="en-US"/>
        </w:rPr>
        <w:t>4</w:t>
      </w:r>
      <w:r w:rsidR="0035541F" w:rsidRPr="0066462A">
        <w:rPr>
          <w:b/>
          <w:i/>
          <w:lang w:val="en-US"/>
        </w:rPr>
        <w:t xml:space="preserve">.1 </w:t>
      </w:r>
      <w:r w:rsidR="002562CA" w:rsidRPr="002562CA">
        <w:rPr>
          <w:b/>
          <w:bCs/>
          <w:i/>
          <w:sz w:val="23"/>
          <w:szCs w:val="23"/>
          <w:lang w:val="en-US"/>
        </w:rPr>
        <w:t>Researchers who have access to research e-infrastructures through Union support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833"/>
        <w:gridCol w:w="1984"/>
        <w:gridCol w:w="2693"/>
        <w:gridCol w:w="3686"/>
      </w:tblGrid>
      <w:tr w:rsidR="002562CA" w:rsidRPr="00E44BCB" w:rsidTr="00EA7396">
        <w:trPr>
          <w:trHeight w:val="294"/>
        </w:trPr>
        <w:tc>
          <w:tcPr>
            <w:tcW w:w="2696" w:type="dxa"/>
          </w:tcPr>
          <w:p w:rsidR="002562CA" w:rsidRPr="002562CA" w:rsidRDefault="002562CA" w:rsidP="002562CA">
            <w:pPr>
              <w:autoSpaceDE w:val="0"/>
              <w:autoSpaceDN w:val="0"/>
              <w:adjustRightInd w:val="0"/>
              <w:rPr>
                <w:color w:val="000000"/>
                <w:szCs w:val="16"/>
              </w:rPr>
            </w:pPr>
            <w:proofErr w:type="gramStart"/>
            <w:r w:rsidRPr="002562CA">
              <w:rPr>
                <w:b/>
                <w:bCs/>
                <w:color w:val="000000"/>
                <w:szCs w:val="16"/>
              </w:rPr>
              <w:t>e</w:t>
            </w:r>
            <w:proofErr w:type="gramEnd"/>
            <w:r w:rsidRPr="002562CA">
              <w:rPr>
                <w:b/>
                <w:bCs/>
                <w:color w:val="000000"/>
                <w:szCs w:val="16"/>
              </w:rPr>
              <w:t xml:space="preserve">-infrastructure </w:t>
            </w:r>
            <w:proofErr w:type="spellStart"/>
            <w:r w:rsidRPr="002562CA">
              <w:rPr>
                <w:b/>
                <w:bCs/>
                <w:color w:val="000000"/>
                <w:szCs w:val="16"/>
              </w:rPr>
              <w:t>name</w:t>
            </w:r>
            <w:proofErr w:type="spellEnd"/>
            <w:r w:rsidRPr="002562CA">
              <w:rPr>
                <w:b/>
                <w:bCs/>
                <w:color w:val="000000"/>
                <w:szCs w:val="16"/>
              </w:rPr>
              <w:t xml:space="preserve"> </w:t>
            </w:r>
          </w:p>
        </w:tc>
        <w:tc>
          <w:tcPr>
            <w:tcW w:w="2833" w:type="dxa"/>
          </w:tcPr>
          <w:p w:rsidR="002562CA" w:rsidRPr="002562CA" w:rsidRDefault="002562CA" w:rsidP="002562CA">
            <w:pPr>
              <w:autoSpaceDE w:val="0"/>
              <w:autoSpaceDN w:val="0"/>
              <w:adjustRightInd w:val="0"/>
              <w:rPr>
                <w:color w:val="000000"/>
                <w:szCs w:val="16"/>
              </w:rPr>
            </w:pPr>
            <w:proofErr w:type="gramStart"/>
            <w:r w:rsidRPr="002562CA">
              <w:rPr>
                <w:b/>
                <w:bCs/>
                <w:color w:val="000000"/>
                <w:szCs w:val="16"/>
              </w:rPr>
              <w:t>e</w:t>
            </w:r>
            <w:proofErr w:type="gramEnd"/>
            <w:r w:rsidRPr="002562CA">
              <w:rPr>
                <w:b/>
                <w:bCs/>
                <w:color w:val="000000"/>
                <w:szCs w:val="16"/>
              </w:rPr>
              <w:t xml:space="preserve">-infrastructure service </w:t>
            </w:r>
          </w:p>
        </w:tc>
        <w:tc>
          <w:tcPr>
            <w:tcW w:w="1984" w:type="dxa"/>
          </w:tcPr>
          <w:p w:rsidR="002562CA" w:rsidRPr="002562CA" w:rsidRDefault="002562CA" w:rsidP="002562CA">
            <w:pPr>
              <w:autoSpaceDE w:val="0"/>
              <w:autoSpaceDN w:val="0"/>
              <w:adjustRightInd w:val="0"/>
              <w:rPr>
                <w:color w:val="000000"/>
                <w:szCs w:val="16"/>
              </w:rPr>
            </w:pPr>
            <w:r w:rsidRPr="002562CA">
              <w:rPr>
                <w:b/>
                <w:bCs/>
                <w:color w:val="000000"/>
                <w:szCs w:val="16"/>
              </w:rPr>
              <w:t xml:space="preserve">Activity Domain (Discipline) </w:t>
            </w:r>
          </w:p>
        </w:tc>
        <w:tc>
          <w:tcPr>
            <w:tcW w:w="2693" w:type="dxa"/>
          </w:tcPr>
          <w:p w:rsidR="002562CA" w:rsidRPr="002562CA" w:rsidRDefault="002562CA" w:rsidP="002562CA">
            <w:pPr>
              <w:autoSpaceDE w:val="0"/>
              <w:autoSpaceDN w:val="0"/>
              <w:adjustRightInd w:val="0"/>
              <w:rPr>
                <w:color w:val="000000"/>
                <w:szCs w:val="16"/>
                <w:lang w:val="en-US"/>
              </w:rPr>
            </w:pPr>
            <w:r w:rsidRPr="002562CA">
              <w:rPr>
                <w:b/>
                <w:bCs/>
                <w:color w:val="000000"/>
                <w:szCs w:val="16"/>
                <w:lang w:val="en-US"/>
              </w:rPr>
              <w:t xml:space="preserve">Maximum possible number of users </w:t>
            </w:r>
          </w:p>
        </w:tc>
        <w:tc>
          <w:tcPr>
            <w:tcW w:w="3686" w:type="dxa"/>
          </w:tcPr>
          <w:p w:rsidR="002562CA" w:rsidRPr="002562CA" w:rsidRDefault="002562CA" w:rsidP="002562CA">
            <w:pPr>
              <w:autoSpaceDE w:val="0"/>
              <w:autoSpaceDN w:val="0"/>
              <w:adjustRightInd w:val="0"/>
              <w:rPr>
                <w:color w:val="000000"/>
                <w:szCs w:val="16"/>
                <w:lang w:val="en-US"/>
              </w:rPr>
            </w:pPr>
            <w:r w:rsidRPr="002562CA">
              <w:rPr>
                <w:b/>
                <w:bCs/>
                <w:color w:val="000000"/>
                <w:szCs w:val="16"/>
                <w:lang w:val="en-US"/>
              </w:rPr>
              <w:t>Nr of actual us</w:t>
            </w:r>
            <w:r w:rsidR="000F34DD">
              <w:rPr>
                <w:b/>
                <w:bCs/>
                <w:color w:val="000000"/>
                <w:szCs w:val="16"/>
                <w:lang w:val="en-US"/>
              </w:rPr>
              <w:t>ers by max possible number in P3</w:t>
            </w:r>
            <w:r w:rsidRPr="002562CA">
              <w:rPr>
                <w:b/>
                <w:bCs/>
                <w:color w:val="000000"/>
                <w:szCs w:val="16"/>
                <w:lang w:val="en-US"/>
              </w:rPr>
              <w:t xml:space="preserve"> (%) </w:t>
            </w:r>
          </w:p>
        </w:tc>
      </w:tr>
      <w:tr w:rsidR="002562CA" w:rsidRPr="00B829CE" w:rsidTr="00EA7396">
        <w:trPr>
          <w:trHeight w:val="1635"/>
        </w:trPr>
        <w:tc>
          <w:tcPr>
            <w:tcW w:w="2696" w:type="dxa"/>
          </w:tcPr>
          <w:p w:rsidR="002562CA" w:rsidRPr="00B829CE" w:rsidRDefault="00E44BCB" w:rsidP="002562CA">
            <w:pPr>
              <w:autoSpaceDE w:val="0"/>
              <w:autoSpaceDN w:val="0"/>
              <w:adjustRightInd w:val="0"/>
              <w:rPr>
                <w:i/>
                <w:color w:val="000000"/>
                <w:szCs w:val="16"/>
                <w:lang w:val="en-US"/>
              </w:rPr>
            </w:pPr>
            <w:r w:rsidRPr="00B829CE">
              <w:rPr>
                <w:iCs/>
                <w:color w:val="000000"/>
                <w:sz w:val="20"/>
                <w:szCs w:val="16"/>
                <w:lang w:val="en-US"/>
              </w:rPr>
              <w:t>3DPartons</w:t>
            </w:r>
          </w:p>
        </w:tc>
        <w:tc>
          <w:tcPr>
            <w:tcW w:w="2833" w:type="dxa"/>
          </w:tcPr>
          <w:p w:rsidR="002562CA" w:rsidRPr="00B829CE" w:rsidRDefault="00E44BCB" w:rsidP="002562CA">
            <w:pPr>
              <w:autoSpaceDE w:val="0"/>
              <w:autoSpaceDN w:val="0"/>
              <w:adjustRightInd w:val="0"/>
              <w:rPr>
                <w:i/>
                <w:color w:val="000000"/>
                <w:szCs w:val="16"/>
                <w:lang w:val="en-US"/>
              </w:rPr>
            </w:pPr>
            <w:r w:rsidRPr="00B829CE">
              <w:rPr>
                <w:iCs/>
                <w:color w:val="000000"/>
                <w:sz w:val="20"/>
                <w:szCs w:val="16"/>
                <w:lang w:val="en-US"/>
              </w:rPr>
              <w:t>Collaborative services enabling the sharing of open</w:t>
            </w:r>
            <w:r w:rsidR="0028775D">
              <w:rPr>
                <w:iCs/>
                <w:color w:val="000000"/>
                <w:sz w:val="20"/>
                <w:szCs w:val="16"/>
                <w:lang w:val="en-US"/>
              </w:rPr>
              <w:t>-</w:t>
            </w:r>
            <w:r w:rsidRPr="00B829CE">
              <w:rPr>
                <w:iCs/>
                <w:color w:val="000000"/>
                <w:sz w:val="20"/>
                <w:szCs w:val="16"/>
                <w:lang w:val="en-US"/>
              </w:rPr>
              <w:t>source software, applications</w:t>
            </w:r>
            <w:r w:rsidR="0028775D">
              <w:rPr>
                <w:iCs/>
                <w:color w:val="000000"/>
                <w:sz w:val="20"/>
                <w:szCs w:val="16"/>
                <w:lang w:val="en-US"/>
              </w:rPr>
              <w:t>,</w:t>
            </w:r>
            <w:r w:rsidRPr="00B829CE">
              <w:rPr>
                <w:iCs/>
                <w:color w:val="000000"/>
                <w:sz w:val="20"/>
                <w:szCs w:val="16"/>
                <w:lang w:val="en-US"/>
              </w:rPr>
              <w:t xml:space="preserve"> and other research objects</w:t>
            </w:r>
          </w:p>
        </w:tc>
        <w:tc>
          <w:tcPr>
            <w:tcW w:w="1984" w:type="dxa"/>
          </w:tcPr>
          <w:p w:rsidR="002562CA" w:rsidRPr="00B829CE" w:rsidRDefault="002562CA" w:rsidP="002562CA">
            <w:pPr>
              <w:autoSpaceDE w:val="0"/>
              <w:autoSpaceDN w:val="0"/>
              <w:adjustRightInd w:val="0"/>
              <w:rPr>
                <w:color w:val="000000"/>
                <w:sz w:val="20"/>
                <w:szCs w:val="16"/>
                <w:lang w:val="en-US"/>
              </w:rPr>
            </w:pPr>
            <w:r w:rsidRPr="00B829CE">
              <w:rPr>
                <w:color w:val="000000"/>
                <w:sz w:val="20"/>
                <w:szCs w:val="16"/>
                <w:lang w:val="en-US"/>
              </w:rPr>
              <w:t xml:space="preserve">Physics </w:t>
            </w:r>
          </w:p>
        </w:tc>
        <w:tc>
          <w:tcPr>
            <w:tcW w:w="2693" w:type="dxa"/>
          </w:tcPr>
          <w:p w:rsidR="002562CA" w:rsidRPr="00B829CE" w:rsidRDefault="00B829CE" w:rsidP="002562CA">
            <w:pPr>
              <w:autoSpaceDE w:val="0"/>
              <w:autoSpaceDN w:val="0"/>
              <w:adjustRightInd w:val="0"/>
              <w:rPr>
                <w:iCs/>
                <w:color w:val="000000"/>
                <w:sz w:val="20"/>
                <w:szCs w:val="16"/>
                <w:lang w:val="en-US"/>
              </w:rPr>
            </w:pPr>
            <w:r w:rsidRPr="00B829CE">
              <w:rPr>
                <w:iCs/>
                <w:color w:val="000000"/>
                <w:sz w:val="20"/>
                <w:szCs w:val="16"/>
                <w:lang w:val="en-US"/>
              </w:rPr>
              <w:t>300</w:t>
            </w:r>
            <w:r w:rsidR="002562CA" w:rsidRPr="00B829CE">
              <w:rPr>
                <w:iCs/>
                <w:color w:val="000000"/>
                <w:sz w:val="20"/>
                <w:szCs w:val="16"/>
                <w:lang w:val="en-US"/>
              </w:rPr>
              <w:t xml:space="preserve"> </w:t>
            </w:r>
          </w:p>
          <w:p w:rsidR="00B829CE" w:rsidRPr="00B829CE" w:rsidRDefault="00B829CE" w:rsidP="00B829CE">
            <w:pPr>
              <w:rPr>
                <w:szCs w:val="16"/>
                <w:lang w:val="en-US"/>
              </w:rPr>
            </w:pPr>
          </w:p>
        </w:tc>
        <w:tc>
          <w:tcPr>
            <w:tcW w:w="3686" w:type="dxa"/>
          </w:tcPr>
          <w:p w:rsidR="002562CA" w:rsidRPr="00B829CE" w:rsidRDefault="00B829CE" w:rsidP="002562CA">
            <w:pPr>
              <w:autoSpaceDE w:val="0"/>
              <w:autoSpaceDN w:val="0"/>
              <w:adjustRightInd w:val="0"/>
              <w:rPr>
                <w:iCs/>
                <w:color w:val="000000"/>
                <w:sz w:val="20"/>
                <w:szCs w:val="20"/>
                <w:lang w:val="en-US"/>
              </w:rPr>
            </w:pPr>
            <w:r w:rsidRPr="00B829CE">
              <w:rPr>
                <w:iCs/>
                <w:color w:val="000000"/>
                <w:sz w:val="20"/>
                <w:szCs w:val="20"/>
                <w:lang w:val="en-US"/>
              </w:rPr>
              <w:t>470%</w:t>
            </w:r>
          </w:p>
          <w:p w:rsidR="00B829CE" w:rsidRPr="00B829CE" w:rsidRDefault="00B829CE" w:rsidP="002562CA">
            <w:pPr>
              <w:autoSpaceDE w:val="0"/>
              <w:autoSpaceDN w:val="0"/>
              <w:adjustRightInd w:val="0"/>
              <w:rPr>
                <w:iCs/>
                <w:sz w:val="20"/>
                <w:szCs w:val="20"/>
                <w:lang w:val="en-US"/>
              </w:rPr>
            </w:pPr>
            <w:r w:rsidRPr="00B829CE">
              <w:rPr>
                <w:iCs/>
                <w:color w:val="000000"/>
                <w:sz w:val="20"/>
                <w:szCs w:val="20"/>
                <w:lang w:val="en-US"/>
              </w:rPr>
              <w:t xml:space="preserve">(709 users in the period </w:t>
            </w:r>
            <w:r w:rsidRPr="00B829CE">
              <w:rPr>
                <w:iCs/>
                <w:sz w:val="20"/>
                <w:szCs w:val="20"/>
                <w:lang w:val="en-US"/>
              </w:rPr>
              <w:t>07/2023-07/2024</w:t>
            </w:r>
          </w:p>
          <w:p w:rsidR="00B829CE" w:rsidRPr="00B829CE" w:rsidRDefault="00B829CE" w:rsidP="002562CA">
            <w:pPr>
              <w:autoSpaceDE w:val="0"/>
              <w:autoSpaceDN w:val="0"/>
              <w:adjustRightInd w:val="0"/>
              <w:rPr>
                <w:iCs/>
                <w:color w:val="000000"/>
                <w:szCs w:val="16"/>
                <w:lang w:val="en-US"/>
              </w:rPr>
            </w:pPr>
            <w:r w:rsidRPr="00B829CE">
              <w:rPr>
                <w:iCs/>
                <w:sz w:val="20"/>
                <w:szCs w:val="20"/>
                <w:lang w:val="en-US"/>
              </w:rPr>
              <w:t xml:space="preserve">extrapolated to ~1400 users in the period </w:t>
            </w:r>
            <w:r w:rsidRPr="00B829CE">
              <w:rPr>
                <w:iCs/>
                <w:sz w:val="20"/>
                <w:szCs w:val="20"/>
                <w:lang w:val="en-US"/>
              </w:rPr>
              <w:t>06/2022-07/2024</w:t>
            </w:r>
            <w:r w:rsidRPr="00B829CE">
              <w:rPr>
                <w:iCs/>
                <w:color w:val="000000"/>
                <w:sz w:val="20"/>
                <w:szCs w:val="16"/>
                <w:lang w:val="en-US"/>
              </w:rPr>
              <w:t>)</w:t>
            </w:r>
          </w:p>
        </w:tc>
      </w:tr>
    </w:tbl>
    <w:p w:rsidR="00994EE4" w:rsidRDefault="00A01DA6" w:rsidP="00700CE2">
      <w:pPr>
        <w:rPr>
          <w:iCs/>
          <w:lang w:val="en-US"/>
        </w:rPr>
      </w:pPr>
      <w:r w:rsidRPr="00B829CE">
        <w:rPr>
          <w:iCs/>
          <w:lang w:val="en-US"/>
        </w:rPr>
        <w:t xml:space="preserve">Since </w:t>
      </w:r>
      <w:r w:rsidRPr="00B829CE">
        <w:rPr>
          <w:iCs/>
          <w:lang w:val="en-US"/>
        </w:rPr>
        <w:t xml:space="preserve">the </w:t>
      </w:r>
      <w:r w:rsidRPr="00B829CE">
        <w:rPr>
          <w:iCs/>
          <w:lang w:val="en-US"/>
        </w:rPr>
        <w:t>1</w:t>
      </w:r>
      <w:r w:rsidRPr="00B829CE">
        <w:rPr>
          <w:iCs/>
          <w:lang w:val="en-US"/>
        </w:rPr>
        <w:t>st</w:t>
      </w:r>
      <w:r w:rsidRPr="00B829CE">
        <w:rPr>
          <w:iCs/>
          <w:lang w:val="en-US"/>
        </w:rPr>
        <w:t xml:space="preserve"> July 2023, following a directive from the STRONG-2020 </w:t>
      </w:r>
      <w:r w:rsidRPr="00B829CE">
        <w:rPr>
          <w:iCs/>
          <w:lang w:val="en-US"/>
        </w:rPr>
        <w:t xml:space="preserve">Governing </w:t>
      </w:r>
      <w:r w:rsidRPr="00B829CE">
        <w:rPr>
          <w:iCs/>
          <w:lang w:val="en-US"/>
        </w:rPr>
        <w:t xml:space="preserve">Board, the tracking platform has been changed from Google Analytics to </w:t>
      </w:r>
      <w:proofErr w:type="spellStart"/>
      <w:r w:rsidRPr="00B829CE">
        <w:rPr>
          <w:iCs/>
          <w:lang w:val="en-US"/>
        </w:rPr>
        <w:t>P</w:t>
      </w:r>
      <w:r w:rsidR="00BF598B">
        <w:rPr>
          <w:iCs/>
          <w:lang w:val="en-US"/>
        </w:rPr>
        <w:t>iwik</w:t>
      </w:r>
      <w:proofErr w:type="spellEnd"/>
      <w:r w:rsidRPr="00B829CE">
        <w:rPr>
          <w:iCs/>
          <w:lang w:val="en-US"/>
        </w:rPr>
        <w:t xml:space="preserve"> Analytics</w:t>
      </w:r>
      <w:r w:rsidR="00BF598B">
        <w:rPr>
          <w:iCs/>
          <w:lang w:val="en-US"/>
        </w:rPr>
        <w:t xml:space="preserve"> (see above)</w:t>
      </w:r>
      <w:r w:rsidRPr="00B829CE">
        <w:rPr>
          <w:iCs/>
          <w:lang w:val="en-US"/>
        </w:rPr>
        <w:t>. Unfortunately, data prior to this change has been lost.</w:t>
      </w:r>
      <w:r w:rsidRPr="00B829CE">
        <w:rPr>
          <w:iCs/>
          <w:lang w:val="en-US"/>
        </w:rPr>
        <w:t xml:space="preserve"> Therefore, there is a gap between June 2022</w:t>
      </w:r>
      <w:r>
        <w:rPr>
          <w:iCs/>
          <w:lang w:val="en-US"/>
        </w:rPr>
        <w:t xml:space="preserve"> and June 2023 for which we have no data. In the table above, we provide a linear extrapolation based on the period 07/2023-07</w:t>
      </w:r>
      <w:r w:rsidR="00B829CE">
        <w:rPr>
          <w:iCs/>
          <w:lang w:val="en-US"/>
        </w:rPr>
        <w:t>/</w:t>
      </w:r>
      <w:r>
        <w:rPr>
          <w:iCs/>
          <w:lang w:val="en-US"/>
        </w:rPr>
        <w:t>2024</w:t>
      </w:r>
      <w:r w:rsidR="00B829CE">
        <w:rPr>
          <w:iCs/>
          <w:lang w:val="en-US"/>
        </w:rPr>
        <w:t xml:space="preserve"> to the </w:t>
      </w:r>
      <w:r w:rsidR="0028775D">
        <w:rPr>
          <w:iCs/>
          <w:lang w:val="en-US"/>
        </w:rPr>
        <w:t xml:space="preserve">entire reference </w:t>
      </w:r>
      <w:r w:rsidR="00B829CE">
        <w:rPr>
          <w:iCs/>
          <w:lang w:val="en-US"/>
        </w:rPr>
        <w:t>period 06/2022-07/2024.</w:t>
      </w:r>
    </w:p>
    <w:p w:rsidR="00B829CE" w:rsidRDefault="00B829CE" w:rsidP="00700CE2">
      <w:pPr>
        <w:rPr>
          <w:iCs/>
          <w:lang w:val="en-US"/>
        </w:rPr>
      </w:pPr>
      <w:r>
        <w:rPr>
          <w:iCs/>
          <w:lang w:val="en-US"/>
        </w:rPr>
        <w:t xml:space="preserve">The counting criteria of </w:t>
      </w:r>
      <w:proofErr w:type="spellStart"/>
      <w:r>
        <w:rPr>
          <w:iCs/>
          <w:lang w:val="en-US"/>
        </w:rPr>
        <w:t>P</w:t>
      </w:r>
      <w:r w:rsidR="0028775D">
        <w:rPr>
          <w:iCs/>
          <w:lang w:val="en-US"/>
        </w:rPr>
        <w:t>iwik</w:t>
      </w:r>
      <w:proofErr w:type="spellEnd"/>
      <w:r w:rsidR="0028775D">
        <w:rPr>
          <w:iCs/>
          <w:lang w:val="en-US"/>
        </w:rPr>
        <w:t xml:space="preserve"> Analytics</w:t>
      </w:r>
      <w:r>
        <w:rPr>
          <w:iCs/>
          <w:lang w:val="en-US"/>
        </w:rPr>
        <w:t xml:space="preserve"> are such that </w:t>
      </w:r>
      <w:r w:rsidRPr="00F22CCA">
        <w:rPr>
          <w:iCs/>
          <w:lang w:val="en-US"/>
        </w:rPr>
        <w:t xml:space="preserve">a user is </w:t>
      </w:r>
      <w:r>
        <w:rPr>
          <w:iCs/>
          <w:lang w:val="en-US"/>
        </w:rPr>
        <w:t>counted once no matter the number of actual visits of the website</w:t>
      </w:r>
      <w:r w:rsidRPr="00F22CCA">
        <w:rPr>
          <w:iCs/>
          <w:lang w:val="en-US"/>
        </w:rPr>
        <w:t>.</w:t>
      </w:r>
    </w:p>
    <w:p w:rsidR="00B829CE" w:rsidRPr="00A01DA6" w:rsidRDefault="00B829CE" w:rsidP="00700CE2">
      <w:pPr>
        <w:rPr>
          <w:iCs/>
          <w:lang w:val="en-US"/>
        </w:rPr>
      </w:pPr>
    </w:p>
    <w:p w:rsidR="00994EE4" w:rsidRPr="00994EE4" w:rsidRDefault="00994EE4" w:rsidP="00994EE4">
      <w:pPr>
        <w:rPr>
          <w:lang w:val="en-US"/>
        </w:rPr>
      </w:pPr>
    </w:p>
    <w:p w:rsidR="00994EE4" w:rsidRPr="00994EE4" w:rsidRDefault="00994EE4" w:rsidP="00994EE4">
      <w:pPr>
        <w:rPr>
          <w:lang w:val="en-US"/>
        </w:rPr>
      </w:pPr>
    </w:p>
    <w:p w:rsidR="00994EE4" w:rsidRPr="00994EE4" w:rsidRDefault="00994EE4" w:rsidP="00994EE4">
      <w:pPr>
        <w:rPr>
          <w:lang w:val="en-US"/>
        </w:rPr>
      </w:pPr>
    </w:p>
    <w:p w:rsidR="00994EE4" w:rsidRPr="00994EE4" w:rsidRDefault="00994EE4" w:rsidP="00994EE4">
      <w:pPr>
        <w:rPr>
          <w:lang w:val="en-US"/>
        </w:rPr>
      </w:pPr>
    </w:p>
    <w:p w:rsidR="00994EE4" w:rsidRDefault="00994EE4" w:rsidP="00994EE4">
      <w:pPr>
        <w:rPr>
          <w:lang w:val="en-US"/>
        </w:rPr>
      </w:pPr>
    </w:p>
    <w:p w:rsidR="0035541F" w:rsidRDefault="00994EE4" w:rsidP="00994EE4">
      <w:pPr>
        <w:tabs>
          <w:tab w:val="left" w:pos="2224"/>
        </w:tabs>
        <w:rPr>
          <w:lang w:val="en-US"/>
        </w:rPr>
      </w:pPr>
      <w:r>
        <w:rPr>
          <w:lang w:val="en-US"/>
        </w:rPr>
        <w:tab/>
      </w:r>
    </w:p>
    <w:p w:rsidR="00994EE4" w:rsidRDefault="00994EE4" w:rsidP="00994EE4">
      <w:pPr>
        <w:tabs>
          <w:tab w:val="left" w:pos="2224"/>
        </w:tabs>
        <w:rPr>
          <w:lang w:val="en-US"/>
        </w:rPr>
      </w:pPr>
    </w:p>
    <w:p w:rsidR="00994EE4" w:rsidRDefault="00994EE4" w:rsidP="00994EE4">
      <w:pPr>
        <w:tabs>
          <w:tab w:val="left" w:pos="2224"/>
        </w:tabs>
        <w:rPr>
          <w:lang w:val="en-US"/>
        </w:rPr>
      </w:pPr>
    </w:p>
    <w:p w:rsidR="00994EE4" w:rsidRDefault="00994EE4" w:rsidP="00994EE4">
      <w:pPr>
        <w:tabs>
          <w:tab w:val="left" w:pos="2224"/>
        </w:tabs>
        <w:rPr>
          <w:lang w:val="en-US"/>
        </w:rPr>
      </w:pPr>
    </w:p>
    <w:p w:rsidR="00994EE4" w:rsidRDefault="00994EE4" w:rsidP="00994EE4">
      <w:pPr>
        <w:pStyle w:val="Heading1"/>
        <w:rPr>
          <w:lang w:val="en-US"/>
        </w:rPr>
        <w:sectPr w:rsidR="00994EE4" w:rsidSect="0035541F">
          <w:pgSz w:w="16838" w:h="11906" w:orient="landscape"/>
          <w:pgMar w:top="1417" w:right="1417" w:bottom="1417" w:left="1417" w:header="708" w:footer="708" w:gutter="0"/>
          <w:cols w:space="708"/>
          <w:docGrid w:linePitch="360"/>
        </w:sectPr>
      </w:pPr>
    </w:p>
    <w:p w:rsidR="00994EE4" w:rsidRDefault="00994EE4" w:rsidP="00994EE4">
      <w:pPr>
        <w:pStyle w:val="Heading1"/>
        <w:rPr>
          <w:lang w:val="en-US"/>
        </w:rPr>
      </w:pPr>
      <w:r w:rsidRPr="00FD18D5">
        <w:rPr>
          <w:lang w:val="en-US"/>
        </w:rPr>
        <w:lastRenderedPageBreak/>
        <w:t>5</w:t>
      </w:r>
      <w:r>
        <w:rPr>
          <w:lang w:val="en-US"/>
        </w:rPr>
        <w:t>.</w:t>
      </w:r>
      <w:r w:rsidRPr="00FD18D5">
        <w:rPr>
          <w:lang w:val="en-US"/>
        </w:rPr>
        <w:t xml:space="preserve"> Resources used to provide access to Research Infrastructures</w:t>
      </w:r>
    </w:p>
    <w:p w:rsidR="00994EE4" w:rsidRPr="00170378" w:rsidRDefault="00994EE4" w:rsidP="00994EE4">
      <w:pPr>
        <w:jc w:val="both"/>
        <w:rPr>
          <w:i/>
          <w:lang w:val="en-US"/>
        </w:rPr>
      </w:pPr>
      <w:r w:rsidRPr="00170378">
        <w:rPr>
          <w:i/>
          <w:lang w:val="en-US"/>
        </w:rPr>
        <w:t>[</w:t>
      </w:r>
      <w:r w:rsidR="00874368">
        <w:rPr>
          <w:i/>
          <w:lang w:val="en-US"/>
        </w:rPr>
        <w:t>E</w:t>
      </w:r>
      <w:r w:rsidRPr="00170378">
        <w:rPr>
          <w:i/>
          <w:lang w:val="en-US"/>
        </w:rPr>
        <w:t>xplain how many PM have been used to provide access and explain for which task (</w:t>
      </w:r>
      <w:proofErr w:type="gramStart"/>
      <w:r w:rsidRPr="00170378">
        <w:rPr>
          <w:i/>
          <w:lang w:val="en-US"/>
        </w:rPr>
        <w:t>e.g.</w:t>
      </w:r>
      <w:proofErr w:type="gramEnd"/>
      <w:r w:rsidRPr="00170378">
        <w:rPr>
          <w:i/>
          <w:lang w:val="en-US"/>
        </w:rPr>
        <w:t xml:space="preserve"> scientific support to users, etc.)].</w:t>
      </w:r>
    </w:p>
    <w:p w:rsidR="00994EE4" w:rsidRPr="00170378" w:rsidRDefault="00994EE4" w:rsidP="00994EE4">
      <w:pPr>
        <w:rPr>
          <w:b/>
          <w:i/>
          <w:lang w:val="en-US"/>
        </w:rPr>
      </w:pPr>
      <w:r w:rsidRPr="00170378">
        <w:rPr>
          <w:b/>
          <w:i/>
          <w:lang w:val="en-US"/>
        </w:rPr>
        <w:t>5.1 Resources used to provide access</w:t>
      </w:r>
    </w:p>
    <w:tbl>
      <w:tblPr>
        <w:tblStyle w:val="TableGrid"/>
        <w:tblW w:w="0" w:type="auto"/>
        <w:tblLook w:val="04A0" w:firstRow="1" w:lastRow="0" w:firstColumn="1" w:lastColumn="0" w:noHBand="0" w:noVBand="1"/>
      </w:tblPr>
      <w:tblGrid>
        <w:gridCol w:w="2265"/>
        <w:gridCol w:w="2265"/>
        <w:gridCol w:w="2265"/>
        <w:gridCol w:w="2265"/>
      </w:tblGrid>
      <w:tr w:rsidR="00994EE4" w:rsidTr="00D94038">
        <w:tc>
          <w:tcPr>
            <w:tcW w:w="2265" w:type="dxa"/>
          </w:tcPr>
          <w:p w:rsidR="00994EE4" w:rsidRPr="00170378" w:rsidRDefault="00994EE4" w:rsidP="00D94038">
            <w:pPr>
              <w:rPr>
                <w:b/>
                <w:lang w:val="en-US"/>
              </w:rPr>
            </w:pPr>
            <w:r w:rsidRPr="00170378">
              <w:rPr>
                <w:b/>
                <w:lang w:val="en-US"/>
              </w:rPr>
              <w:t>Beneficiary/Linked Third Party short name</w:t>
            </w:r>
          </w:p>
        </w:tc>
        <w:tc>
          <w:tcPr>
            <w:tcW w:w="2265" w:type="dxa"/>
          </w:tcPr>
          <w:p w:rsidR="00994EE4" w:rsidRPr="00170378" w:rsidRDefault="00994EE4" w:rsidP="00D94038">
            <w:pPr>
              <w:rPr>
                <w:b/>
                <w:lang w:val="en-US"/>
              </w:rPr>
            </w:pPr>
            <w:r w:rsidRPr="00170378">
              <w:rPr>
                <w:b/>
                <w:lang w:val="en-US"/>
              </w:rPr>
              <w:t>Installation(s)</w:t>
            </w:r>
          </w:p>
        </w:tc>
        <w:tc>
          <w:tcPr>
            <w:tcW w:w="2265" w:type="dxa"/>
          </w:tcPr>
          <w:p w:rsidR="00994EE4" w:rsidRPr="00170378" w:rsidRDefault="00994EE4" w:rsidP="00D94038">
            <w:pPr>
              <w:rPr>
                <w:b/>
                <w:lang w:val="en-US"/>
              </w:rPr>
            </w:pPr>
            <w:r w:rsidRPr="00170378">
              <w:rPr>
                <w:b/>
                <w:lang w:val="en-US"/>
              </w:rPr>
              <w:t>P/m</w:t>
            </w:r>
          </w:p>
        </w:tc>
        <w:tc>
          <w:tcPr>
            <w:tcW w:w="2265" w:type="dxa"/>
          </w:tcPr>
          <w:p w:rsidR="00994EE4" w:rsidRPr="00170378" w:rsidRDefault="00994EE4" w:rsidP="00D94038">
            <w:pPr>
              <w:rPr>
                <w:b/>
                <w:lang w:val="en-US"/>
              </w:rPr>
            </w:pPr>
            <w:r w:rsidRPr="00170378">
              <w:rPr>
                <w:b/>
                <w:lang w:val="en-US"/>
              </w:rPr>
              <w:t>Explanations of tasks</w:t>
            </w:r>
          </w:p>
        </w:tc>
      </w:tr>
      <w:tr w:rsidR="00E44BCB" w:rsidRPr="00E44BCB" w:rsidTr="00D94038">
        <w:tc>
          <w:tcPr>
            <w:tcW w:w="2265" w:type="dxa"/>
          </w:tcPr>
          <w:p w:rsidR="00E44BCB" w:rsidRDefault="00E44BCB" w:rsidP="00E44BCB">
            <w:pPr>
              <w:rPr>
                <w:lang w:val="en-US"/>
              </w:rPr>
            </w:pPr>
            <w:r>
              <w:rPr>
                <w:lang w:val="en-US"/>
              </w:rPr>
              <w:t>CEA</w:t>
            </w:r>
          </w:p>
          <w:p w:rsidR="00E44BCB" w:rsidRDefault="00E44BCB" w:rsidP="00E44BCB">
            <w:pPr>
              <w:rPr>
                <w:lang w:val="en-US"/>
              </w:rPr>
            </w:pPr>
          </w:p>
          <w:p w:rsidR="00E44BCB" w:rsidRDefault="00E44BCB" w:rsidP="00E44BCB">
            <w:pPr>
              <w:rPr>
                <w:lang w:val="en-US"/>
              </w:rPr>
            </w:pPr>
          </w:p>
          <w:p w:rsidR="00E44BCB" w:rsidRDefault="00E44BCB" w:rsidP="00E44BCB">
            <w:pPr>
              <w:rPr>
                <w:lang w:val="en-US"/>
              </w:rPr>
            </w:pPr>
          </w:p>
          <w:p w:rsidR="00E44BCB" w:rsidRDefault="00E44BCB" w:rsidP="00E44BCB">
            <w:pPr>
              <w:rPr>
                <w:lang w:val="en-US"/>
              </w:rPr>
            </w:pPr>
          </w:p>
        </w:tc>
        <w:tc>
          <w:tcPr>
            <w:tcW w:w="2265" w:type="dxa"/>
          </w:tcPr>
          <w:p w:rsidR="00E44BCB" w:rsidRDefault="00E44BCB" w:rsidP="00E44BCB">
            <w:pPr>
              <w:rPr>
                <w:lang w:val="en-US"/>
              </w:rPr>
            </w:pPr>
            <w:r>
              <w:rPr>
                <w:lang w:val="en-US"/>
              </w:rPr>
              <w:t>VA 3DPartons</w:t>
            </w:r>
          </w:p>
        </w:tc>
        <w:tc>
          <w:tcPr>
            <w:tcW w:w="2265" w:type="dxa"/>
          </w:tcPr>
          <w:p w:rsidR="00E44BCB" w:rsidRDefault="00E44BCB" w:rsidP="00E44BCB">
            <w:pPr>
              <w:rPr>
                <w:lang w:val="en-US"/>
              </w:rPr>
            </w:pPr>
          </w:p>
        </w:tc>
        <w:tc>
          <w:tcPr>
            <w:tcW w:w="2265" w:type="dxa"/>
          </w:tcPr>
          <w:p w:rsidR="00E44BCB" w:rsidRPr="00853936" w:rsidRDefault="00E44BCB" w:rsidP="00E44BCB">
            <w:pPr>
              <w:autoSpaceDE w:val="0"/>
              <w:autoSpaceDN w:val="0"/>
              <w:adjustRightInd w:val="0"/>
              <w:rPr>
                <w:rFonts w:ascii="áΩ=Ç˛" w:hAnsi="áΩ=Ç˛" w:cs="áΩ=Ç˛"/>
                <w:sz w:val="19"/>
                <w:szCs w:val="19"/>
                <w:lang w:val="en-US"/>
              </w:rPr>
            </w:pPr>
            <w:r>
              <w:rPr>
                <w:rFonts w:ascii="áΩ=Ç˛" w:hAnsi="áΩ=Ç˛" w:cs="áΩ=Ç˛"/>
                <w:sz w:val="19"/>
                <w:szCs w:val="19"/>
                <w:lang w:val="en-US"/>
              </w:rPr>
              <w:t>A</w:t>
            </w:r>
            <w:r w:rsidRPr="00853936">
              <w:rPr>
                <w:rFonts w:ascii="áΩ=Ç˛" w:hAnsi="áΩ=Ç˛" w:cs="áΩ=Ç˛"/>
                <w:sz w:val="19"/>
                <w:szCs w:val="19"/>
                <w:lang w:val="en-US"/>
              </w:rPr>
              <w:t>ggregat</w:t>
            </w:r>
            <w:r>
              <w:rPr>
                <w:rFonts w:ascii="áΩ=Ç˛" w:hAnsi="áΩ=Ç˛" w:cs="áΩ=Ç˛"/>
                <w:sz w:val="19"/>
                <w:szCs w:val="19"/>
                <w:lang w:val="en-US"/>
              </w:rPr>
              <w:t>ion</w:t>
            </w:r>
            <w:r w:rsidRPr="00853936">
              <w:rPr>
                <w:rFonts w:ascii="áΩ=Ç˛" w:hAnsi="áΩ=Ç˛" w:cs="áΩ=Ç˛"/>
                <w:sz w:val="19"/>
                <w:szCs w:val="19"/>
                <w:lang w:val="en-US"/>
              </w:rPr>
              <w:t xml:space="preserve"> and improve</w:t>
            </w:r>
            <w:r>
              <w:rPr>
                <w:rFonts w:ascii="áΩ=Ç˛" w:hAnsi="áΩ=Ç˛" w:cs="áΩ=Ç˛"/>
                <w:sz w:val="19"/>
                <w:szCs w:val="19"/>
                <w:lang w:val="en-US"/>
              </w:rPr>
              <w:t>ment of</w:t>
            </w:r>
          </w:p>
          <w:p w:rsidR="00E44BCB" w:rsidRDefault="00E44BCB" w:rsidP="00E44BCB">
            <w:pPr>
              <w:autoSpaceDE w:val="0"/>
              <w:autoSpaceDN w:val="0"/>
              <w:adjustRightInd w:val="0"/>
              <w:rPr>
                <w:rFonts w:ascii="áΩ=Ç˛" w:hAnsi="áΩ=Ç˛" w:cs="áΩ=Ç˛"/>
                <w:sz w:val="19"/>
                <w:szCs w:val="19"/>
                <w:lang w:val="en-US"/>
              </w:rPr>
            </w:pPr>
            <w:r w:rsidRPr="00853936">
              <w:rPr>
                <w:rFonts w:ascii="áΩ=Ç˛" w:hAnsi="áΩ=Ç˛" w:cs="áΩ=Ç˛"/>
                <w:sz w:val="19"/>
                <w:szCs w:val="19"/>
                <w:lang w:val="en-US"/>
              </w:rPr>
              <w:t>existing codes from the GPD</w:t>
            </w:r>
            <w:r>
              <w:rPr>
                <w:rFonts w:ascii="áΩ=Ç˛" w:hAnsi="áΩ=Ç˛" w:cs="áΩ=Ç˛"/>
                <w:sz w:val="19"/>
                <w:szCs w:val="19"/>
                <w:lang w:val="en-US"/>
              </w:rPr>
              <w:t xml:space="preserve"> and PDF/FF, </w:t>
            </w:r>
            <w:r w:rsidRPr="00853936">
              <w:rPr>
                <w:rFonts w:ascii="áΩ=Ç˛" w:hAnsi="áΩ=Ç˛" w:cs="áΩ=Ç˛"/>
                <w:sz w:val="19"/>
                <w:szCs w:val="19"/>
                <w:lang w:val="en-US"/>
              </w:rPr>
              <w:t>TMD</w:t>
            </w:r>
            <w:r>
              <w:rPr>
                <w:rFonts w:ascii="áΩ=Ç˛" w:hAnsi="áΩ=Ç˛" w:cs="áΩ=Ç˛"/>
                <w:sz w:val="19"/>
                <w:szCs w:val="19"/>
                <w:lang w:val="en-US"/>
              </w:rPr>
              <w:t>, and GTMD</w:t>
            </w:r>
            <w:r w:rsidRPr="00853936">
              <w:rPr>
                <w:rFonts w:ascii="áΩ=Ç˛" w:hAnsi="áΩ=Ç˛" w:cs="áΩ=Ç˛"/>
                <w:sz w:val="19"/>
                <w:szCs w:val="19"/>
                <w:lang w:val="en-US"/>
              </w:rPr>
              <w:t xml:space="preserve"> communities. </w:t>
            </w:r>
          </w:p>
          <w:p w:rsidR="00E44BCB" w:rsidRPr="00853936" w:rsidRDefault="00E44BCB" w:rsidP="00E44BCB">
            <w:pPr>
              <w:autoSpaceDE w:val="0"/>
              <w:autoSpaceDN w:val="0"/>
              <w:adjustRightInd w:val="0"/>
              <w:rPr>
                <w:rFonts w:ascii="áΩ=Ç˛" w:hAnsi="áΩ=Ç˛" w:cs="áΩ=Ç˛"/>
                <w:sz w:val="19"/>
                <w:szCs w:val="19"/>
                <w:lang w:val="en-US"/>
              </w:rPr>
            </w:pPr>
            <w:r>
              <w:rPr>
                <w:rFonts w:ascii="áΩ=Ç˛" w:hAnsi="áΩ=Ç˛" w:cs="áΩ=Ç˛"/>
                <w:sz w:val="19"/>
                <w:szCs w:val="19"/>
                <w:lang w:val="en-US"/>
              </w:rPr>
              <w:t>I</w:t>
            </w:r>
            <w:r w:rsidRPr="00853936">
              <w:rPr>
                <w:rFonts w:ascii="áΩ=Ç˛" w:hAnsi="áΩ=Ç˛" w:cs="áΩ=Ç˛"/>
                <w:sz w:val="19"/>
                <w:szCs w:val="19"/>
                <w:lang w:val="en-US"/>
              </w:rPr>
              <w:t>ntegration,</w:t>
            </w:r>
          </w:p>
          <w:p w:rsidR="00E44BCB" w:rsidRDefault="00E44BCB" w:rsidP="00E44BCB">
            <w:pPr>
              <w:rPr>
                <w:lang w:val="en-US"/>
              </w:rPr>
            </w:pPr>
            <w:r w:rsidRPr="00853936">
              <w:rPr>
                <w:rFonts w:ascii="áΩ=Ç˛" w:hAnsi="áΩ=Ç˛" w:cs="áΩ=Ç˛"/>
                <w:sz w:val="19"/>
                <w:szCs w:val="19"/>
                <w:lang w:val="en-US"/>
              </w:rPr>
              <w:t xml:space="preserve">maintenance, </w:t>
            </w:r>
            <w:proofErr w:type="gramStart"/>
            <w:r w:rsidRPr="00853936">
              <w:rPr>
                <w:rFonts w:ascii="áΩ=Ç˛" w:hAnsi="áΩ=Ç˛" w:cs="áΩ=Ç˛"/>
                <w:sz w:val="19"/>
                <w:szCs w:val="19"/>
                <w:lang w:val="en-US"/>
              </w:rPr>
              <w:t>release</w:t>
            </w:r>
            <w:r>
              <w:rPr>
                <w:rFonts w:ascii="áΩ=Ç˛" w:hAnsi="áΩ=Ç˛" w:cs="áΩ=Ç˛"/>
                <w:sz w:val="19"/>
                <w:szCs w:val="19"/>
                <w:lang w:val="en-US"/>
              </w:rPr>
              <w:t xml:space="preserve">,  </w:t>
            </w:r>
            <w:r w:rsidRPr="00853936">
              <w:rPr>
                <w:rFonts w:ascii="áΩ=Ç˛" w:hAnsi="áΩ=Ç˛" w:cs="áΩ=Ç˛"/>
                <w:sz w:val="19"/>
                <w:szCs w:val="19"/>
                <w:lang w:val="en-US"/>
              </w:rPr>
              <w:t xml:space="preserve"> </w:t>
            </w:r>
            <w:proofErr w:type="gramEnd"/>
            <w:r w:rsidRPr="00853936">
              <w:rPr>
                <w:rFonts w:ascii="áΩ=Ç˛" w:hAnsi="áΩ=Ç˛" w:cs="áΩ=Ç˛"/>
                <w:sz w:val="19"/>
                <w:szCs w:val="19"/>
                <w:lang w:val="en-US"/>
              </w:rPr>
              <w:t>testing</w:t>
            </w:r>
            <w:r>
              <w:rPr>
                <w:rFonts w:ascii="áΩ=Ç˛" w:hAnsi="áΩ=Ç˛" w:cs="áΩ=Ç˛"/>
                <w:sz w:val="19"/>
                <w:szCs w:val="19"/>
                <w:lang w:val="en-US"/>
              </w:rPr>
              <w:t xml:space="preserve">, </w:t>
            </w:r>
            <w:r w:rsidRPr="00853936">
              <w:rPr>
                <w:rFonts w:ascii="áΩ=Ç˛" w:hAnsi="áΩ=Ç˛" w:cs="áΩ=Ç˛"/>
                <w:sz w:val="19"/>
                <w:szCs w:val="19"/>
                <w:lang w:val="en-US"/>
              </w:rPr>
              <w:t>documentation and</w:t>
            </w:r>
            <w:r>
              <w:rPr>
                <w:rFonts w:ascii="áΩ=Ç˛" w:hAnsi="áΩ=Ç˛" w:cs="áΩ=Ç˛"/>
                <w:sz w:val="19"/>
                <w:szCs w:val="19"/>
                <w:lang w:val="en-US"/>
              </w:rPr>
              <w:t xml:space="preserve"> </w:t>
            </w:r>
            <w:r w:rsidRPr="00853936">
              <w:rPr>
                <w:rFonts w:ascii="áΩ=Ç˛" w:hAnsi="áΩ=Ç˛" w:cs="áΩ=Ç˛"/>
                <w:sz w:val="19"/>
                <w:szCs w:val="19"/>
                <w:lang w:val="en-US"/>
              </w:rPr>
              <w:t>technical assistance to users</w:t>
            </w:r>
            <w:r>
              <w:rPr>
                <w:rFonts w:ascii="áΩ=Ç˛" w:hAnsi="áΩ=Ç˛" w:cs="áΩ=Ç˛"/>
                <w:sz w:val="19"/>
                <w:szCs w:val="19"/>
                <w:lang w:val="en-US"/>
              </w:rPr>
              <w:t>.</w:t>
            </w:r>
          </w:p>
        </w:tc>
      </w:tr>
    </w:tbl>
    <w:p w:rsidR="00994EE4" w:rsidRDefault="00994EE4" w:rsidP="00994EE4">
      <w:pPr>
        <w:tabs>
          <w:tab w:val="left" w:pos="1511"/>
        </w:tabs>
        <w:rPr>
          <w:lang w:val="en-US"/>
        </w:rPr>
      </w:pPr>
    </w:p>
    <w:p w:rsidR="00994EE4" w:rsidRPr="00994EE4" w:rsidRDefault="00994EE4" w:rsidP="00994EE4">
      <w:pPr>
        <w:tabs>
          <w:tab w:val="left" w:pos="2224"/>
        </w:tabs>
        <w:rPr>
          <w:lang w:val="en-US"/>
        </w:rPr>
      </w:pPr>
    </w:p>
    <w:sectPr w:rsidR="00994EE4" w:rsidRPr="00994EE4" w:rsidSect="00994EE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103" w:rsidRDefault="00EC2103" w:rsidP="00700CE2">
      <w:r>
        <w:separator/>
      </w:r>
    </w:p>
  </w:endnote>
  <w:endnote w:type="continuationSeparator" w:id="0">
    <w:p w:rsidR="00EC2103" w:rsidRDefault="00EC2103" w:rsidP="0070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panose1 w:val="020B0300000000000000"/>
    <w:charset w:val="00"/>
    <w:family w:val="roman"/>
    <w:pitch w:val="default"/>
  </w:font>
  <w:font w:name="áΩ=Ç˛">
    <w:altName w:val="Calibri"/>
    <w:panose1 w:val="020B0604020202020204"/>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103" w:rsidRDefault="00EC2103" w:rsidP="00700CE2">
      <w:r>
        <w:separator/>
      </w:r>
    </w:p>
  </w:footnote>
  <w:footnote w:type="continuationSeparator" w:id="0">
    <w:p w:rsidR="00EC2103" w:rsidRDefault="00EC2103" w:rsidP="00700CE2">
      <w:r>
        <w:continuationSeparator/>
      </w:r>
    </w:p>
  </w:footnote>
  <w:footnote w:id="1">
    <w:p w:rsidR="007B68E9" w:rsidRPr="00FF5017" w:rsidRDefault="007B68E9" w:rsidP="007B68E9">
      <w:pPr>
        <w:pStyle w:val="FootnoteText"/>
        <w:rPr>
          <w:lang w:val="en-US"/>
        </w:rPr>
      </w:pPr>
      <w:r>
        <w:rPr>
          <w:rStyle w:val="FootnoteReference"/>
        </w:rPr>
        <w:footnoteRef/>
      </w:r>
      <w:r w:rsidRPr="00FF5017">
        <w:rPr>
          <w:lang w:val="en-US"/>
        </w:rPr>
        <w:t xml:space="preserve"> </w:t>
      </w:r>
      <w:r>
        <w:rPr>
          <w:lang w:val="en-US"/>
        </w:rPr>
        <w:t xml:space="preserve">General data protection regulation </w:t>
      </w:r>
      <w:hyperlink r:id="rId1" w:history="1">
        <w:r w:rsidRPr="007A2E1D">
          <w:rPr>
            <w:rStyle w:val="Hyperlink"/>
            <w:lang w:val="en-US"/>
          </w:rPr>
          <w:t>https://gdpr-info.eu</w:t>
        </w:r>
      </w:hyperlink>
      <w:r>
        <w:rPr>
          <w:lang w:val="en-US"/>
        </w:rPr>
        <w:t xml:space="preserve">. </w:t>
      </w:r>
    </w:p>
  </w:footnote>
  <w:footnote w:id="2">
    <w:p w:rsidR="00FB50CF" w:rsidRPr="00B61423" w:rsidRDefault="00FB50CF" w:rsidP="00FB50CF">
      <w:pPr>
        <w:pStyle w:val="FootnoteText"/>
      </w:pPr>
      <w:r w:rsidRPr="00B61423">
        <w:rPr>
          <w:rStyle w:val="FootnoteReference"/>
        </w:rPr>
        <w:footnoteRef/>
      </w:r>
      <w:r w:rsidRPr="00B61423">
        <w:t xml:space="preserve"> </w:t>
      </w:r>
      <w:r w:rsidR="00B61423" w:rsidRPr="00B61423">
        <w:rPr>
          <w:lang w:val="fr-FR"/>
        </w:rPr>
        <w:t xml:space="preserve"> </w:t>
      </w:r>
      <w:r w:rsidR="00EA7338" w:rsidRPr="00B61423">
        <w:rPr>
          <w:lang w:val="fr-FR"/>
        </w:rPr>
        <w:t xml:space="preserve">MAP Collaboration, </w:t>
      </w:r>
      <w:proofErr w:type="gramStart"/>
      <w:r w:rsidR="00EA7338" w:rsidRPr="00B61423">
        <w:t>Phys.Rev.D</w:t>
      </w:r>
      <w:proofErr w:type="gramEnd"/>
      <w:r w:rsidR="00EA7338" w:rsidRPr="00B61423">
        <w:t xml:space="preserve"> 107 (2023) 1, 014014</w:t>
      </w:r>
      <w:r w:rsidRPr="00B61423">
        <w:t>.</w:t>
      </w:r>
    </w:p>
  </w:footnote>
  <w:footnote w:id="3">
    <w:p w:rsidR="00FB50CF" w:rsidRPr="00B61423" w:rsidRDefault="00FB50CF" w:rsidP="00FB50CF">
      <w:pPr>
        <w:pStyle w:val="HTMLPreformatted"/>
        <w:shd w:val="clear" w:color="auto" w:fill="FFFFFF"/>
        <w:rPr>
          <w:rFonts w:ascii="Times New Roman" w:hAnsi="Times New Roman" w:cs="Times New Roman"/>
        </w:rPr>
      </w:pPr>
      <w:r w:rsidRPr="00B61423">
        <w:rPr>
          <w:rStyle w:val="FootnoteReference"/>
          <w:rFonts w:ascii="Times New Roman" w:hAnsi="Times New Roman" w:cs="Times New Roman"/>
        </w:rPr>
        <w:footnoteRef/>
      </w:r>
      <w:r w:rsidRPr="00B61423">
        <w:rPr>
          <w:rFonts w:ascii="Times New Roman" w:hAnsi="Times New Roman" w:cs="Times New Roman"/>
        </w:rPr>
        <w:t xml:space="preserve"> V. Bertone</w:t>
      </w:r>
      <w:r w:rsidR="00EA7338" w:rsidRPr="00B61423">
        <w:rPr>
          <w:rFonts w:ascii="Times New Roman" w:hAnsi="Times New Roman" w:cs="Times New Roman"/>
        </w:rPr>
        <w:t xml:space="preserve">, </w:t>
      </w:r>
      <w:proofErr w:type="spellStart"/>
      <w:r w:rsidR="00EA7338" w:rsidRPr="00B61423">
        <w:rPr>
          <w:rFonts w:ascii="Times New Roman" w:hAnsi="Times New Roman" w:cs="Times New Roman"/>
        </w:rPr>
        <w:t>Eur.Phys.J.C</w:t>
      </w:r>
      <w:proofErr w:type="spellEnd"/>
      <w:r w:rsidR="00EA7338" w:rsidRPr="00B61423">
        <w:rPr>
          <w:rFonts w:ascii="Times New Roman" w:hAnsi="Times New Roman" w:cs="Times New Roman"/>
        </w:rPr>
        <w:t xml:space="preserve"> 82 (2022) 10, 941</w:t>
      </w:r>
      <w:r w:rsidRPr="00B61423">
        <w:rPr>
          <w:rFonts w:ascii="Times New Roman" w:hAnsi="Times New Roman" w:cs="Times New Roman"/>
        </w:rPr>
        <w:t>.</w:t>
      </w:r>
    </w:p>
  </w:footnote>
  <w:footnote w:id="4">
    <w:p w:rsidR="00FB50CF" w:rsidRPr="00B61423" w:rsidRDefault="00FB50CF" w:rsidP="00FB50CF">
      <w:pPr>
        <w:pStyle w:val="HTMLPreformatted"/>
        <w:shd w:val="clear" w:color="auto" w:fill="FFFFFF"/>
        <w:rPr>
          <w:rFonts w:ascii="Times New Roman" w:hAnsi="Times New Roman" w:cs="Times New Roman"/>
        </w:rPr>
      </w:pPr>
      <w:r w:rsidRPr="00B61423">
        <w:rPr>
          <w:rStyle w:val="FootnoteReference"/>
          <w:rFonts w:ascii="Times New Roman" w:hAnsi="Times New Roman" w:cs="Times New Roman"/>
        </w:rPr>
        <w:footnoteRef/>
      </w:r>
      <w:r w:rsidR="00B61423" w:rsidRPr="00B61423">
        <w:rPr>
          <w:rFonts w:ascii="Times New Roman" w:hAnsi="Times New Roman" w:cs="Times New Roman"/>
        </w:rPr>
        <w:t xml:space="preserve"> </w:t>
      </w:r>
      <w:r w:rsidR="00EA7338" w:rsidRPr="00B61423">
        <w:rPr>
          <w:rFonts w:ascii="Times New Roman" w:hAnsi="Times New Roman" w:cs="Times New Roman"/>
        </w:rPr>
        <w:t xml:space="preserve">V. Bertone </w:t>
      </w:r>
      <w:r w:rsidR="00EA7338" w:rsidRPr="00B61423">
        <w:rPr>
          <w:rFonts w:ascii="Times New Roman" w:hAnsi="Times New Roman" w:cs="Times New Roman"/>
          <w:i/>
          <w:iCs/>
        </w:rPr>
        <w:t>et al</w:t>
      </w:r>
      <w:r w:rsidR="0093448F">
        <w:rPr>
          <w:rFonts w:ascii="Times New Roman" w:hAnsi="Times New Roman" w:cs="Times New Roman"/>
          <w:i/>
          <w:iCs/>
        </w:rPr>
        <w:t>.</w:t>
      </w:r>
      <w:r w:rsidR="00EA7338" w:rsidRPr="00B61423">
        <w:rPr>
          <w:rFonts w:ascii="Times New Roman" w:hAnsi="Times New Roman" w:cs="Times New Roman"/>
        </w:rPr>
        <w:t xml:space="preserve">, </w:t>
      </w:r>
      <w:r w:rsidR="00EA7338" w:rsidRPr="00B61423">
        <w:rPr>
          <w:rFonts w:ascii="Times New Roman" w:hAnsi="Times New Roman" w:cs="Times New Roman"/>
        </w:rPr>
        <w:t>JHEP 10 (2022) 089</w:t>
      </w:r>
      <w:r w:rsidRPr="00B61423">
        <w:rPr>
          <w:rFonts w:ascii="Times New Roman" w:hAnsi="Times New Roman" w:cs="Times New Roman"/>
        </w:rPr>
        <w:t>.</w:t>
      </w:r>
    </w:p>
  </w:footnote>
  <w:footnote w:id="5">
    <w:p w:rsidR="00FB50CF" w:rsidRPr="00B61423" w:rsidRDefault="00FB50CF" w:rsidP="00FB50CF">
      <w:pPr>
        <w:pStyle w:val="FootnoteText"/>
        <w:rPr>
          <w:lang w:val="fr-FR"/>
        </w:rPr>
      </w:pPr>
      <w:r w:rsidRPr="00B61423">
        <w:rPr>
          <w:rStyle w:val="FootnoteReference"/>
        </w:rPr>
        <w:footnoteRef/>
      </w:r>
      <w:r w:rsidRPr="00B61423">
        <w:t xml:space="preserve"> </w:t>
      </w:r>
      <w:r w:rsidR="00B61423" w:rsidRPr="00B61423">
        <w:rPr>
          <w:lang w:val="fr-FR"/>
        </w:rPr>
        <w:t xml:space="preserve"> </w:t>
      </w:r>
      <w:r w:rsidR="00B61423" w:rsidRPr="00B61423">
        <w:rPr>
          <w:lang w:val="fr-FR"/>
        </w:rPr>
        <w:t>MAP Collaboration, JHEP 10 (2022) 127</w:t>
      </w:r>
      <w:r w:rsidR="00B61423" w:rsidRPr="00B61423">
        <w:rPr>
          <w:lang w:val="fr-FR"/>
        </w:rPr>
        <w:t>.</w:t>
      </w:r>
    </w:p>
  </w:footnote>
  <w:footnote w:id="6">
    <w:p w:rsidR="00FB50CF" w:rsidRPr="00B61423" w:rsidRDefault="00FB50CF" w:rsidP="00FB50CF">
      <w:pPr>
        <w:pStyle w:val="HTMLPreformatted"/>
        <w:shd w:val="clear" w:color="auto" w:fill="FFFFFF"/>
        <w:rPr>
          <w:rFonts w:ascii="Times New Roman" w:hAnsi="Times New Roman" w:cs="Times New Roman"/>
        </w:rPr>
      </w:pPr>
      <w:r w:rsidRPr="00B61423">
        <w:rPr>
          <w:rStyle w:val="FootnoteReference"/>
          <w:rFonts w:ascii="Times New Roman" w:hAnsi="Times New Roman" w:cs="Times New Roman"/>
        </w:rPr>
        <w:footnoteRef/>
      </w:r>
      <w:r w:rsidR="00B61423" w:rsidRPr="00B61423">
        <w:rPr>
          <w:rFonts w:ascii="Times New Roman" w:hAnsi="Times New Roman" w:cs="Times New Roman"/>
        </w:rPr>
        <w:t xml:space="preserve"> H. Dutrieux </w:t>
      </w:r>
      <w:r w:rsidR="00B61423" w:rsidRPr="00B61423">
        <w:rPr>
          <w:rFonts w:ascii="Times New Roman" w:hAnsi="Times New Roman" w:cs="Times New Roman"/>
          <w:i/>
          <w:iCs/>
        </w:rPr>
        <w:t>et al</w:t>
      </w:r>
      <w:r w:rsidR="0093448F">
        <w:rPr>
          <w:rFonts w:ascii="Times New Roman" w:hAnsi="Times New Roman" w:cs="Times New Roman"/>
          <w:i/>
          <w:iCs/>
        </w:rPr>
        <w:t>.</w:t>
      </w:r>
      <w:r w:rsidR="00B61423" w:rsidRPr="00B61423">
        <w:rPr>
          <w:rFonts w:ascii="Times New Roman" w:hAnsi="Times New Roman" w:cs="Times New Roman"/>
        </w:rPr>
        <w:t xml:space="preserve">, </w:t>
      </w:r>
      <w:proofErr w:type="spellStart"/>
      <w:proofErr w:type="gramStart"/>
      <w:r w:rsidR="00B61423" w:rsidRPr="00B61423">
        <w:rPr>
          <w:rFonts w:ascii="Times New Roman" w:hAnsi="Times New Roman" w:cs="Times New Roman"/>
        </w:rPr>
        <w:t>Phys.Rev.D</w:t>
      </w:r>
      <w:proofErr w:type="spellEnd"/>
      <w:proofErr w:type="gramEnd"/>
      <w:r w:rsidR="00B61423" w:rsidRPr="00B61423">
        <w:rPr>
          <w:rFonts w:ascii="Times New Roman" w:hAnsi="Times New Roman" w:cs="Times New Roman"/>
        </w:rPr>
        <w:t xml:space="preserve"> 107</w:t>
      </w:r>
      <w:r w:rsidRPr="00B61423">
        <w:rPr>
          <w:rFonts w:ascii="Times New Roman" w:hAnsi="Times New Roman" w:cs="Times New Roman"/>
        </w:rPr>
        <w:t>.</w:t>
      </w:r>
    </w:p>
  </w:footnote>
  <w:footnote w:id="7">
    <w:p w:rsidR="00FB50CF" w:rsidRPr="00B61423" w:rsidRDefault="00FB50CF" w:rsidP="00FB50CF">
      <w:pPr>
        <w:pStyle w:val="HTMLPreformatted"/>
        <w:shd w:val="clear" w:color="auto" w:fill="FFFFFF"/>
        <w:rPr>
          <w:rFonts w:ascii="Times New Roman" w:hAnsi="Times New Roman" w:cs="Times New Roman"/>
          <w:sz w:val="21"/>
          <w:szCs w:val="21"/>
        </w:rPr>
      </w:pPr>
      <w:r w:rsidRPr="00B61423">
        <w:rPr>
          <w:rStyle w:val="FootnoteReference"/>
          <w:rFonts w:ascii="Times New Roman" w:hAnsi="Times New Roman" w:cs="Times New Roman"/>
        </w:rPr>
        <w:footnoteRef/>
      </w:r>
      <w:r w:rsidR="00B61423" w:rsidRPr="00B61423">
        <w:rPr>
          <w:rFonts w:ascii="Times New Roman" w:hAnsi="Times New Roman" w:cs="Times New Roman"/>
        </w:rPr>
        <w:t xml:space="preserve"> V. </w:t>
      </w:r>
      <w:r w:rsidR="00B61423">
        <w:rPr>
          <w:rFonts w:ascii="Times New Roman" w:hAnsi="Times New Roman" w:cs="Times New Roman"/>
        </w:rPr>
        <w:t>B</w:t>
      </w:r>
      <w:r w:rsidR="00B61423" w:rsidRPr="00B61423">
        <w:rPr>
          <w:rFonts w:ascii="Times New Roman" w:hAnsi="Times New Roman" w:cs="Times New Roman"/>
        </w:rPr>
        <w:t xml:space="preserve">ertone </w:t>
      </w:r>
      <w:r w:rsidR="00B61423" w:rsidRPr="00B61423">
        <w:rPr>
          <w:rFonts w:ascii="Times New Roman" w:hAnsi="Times New Roman" w:cs="Times New Roman"/>
          <w:i/>
          <w:iCs/>
        </w:rPr>
        <w:t>et al</w:t>
      </w:r>
      <w:r w:rsidRPr="00B61423">
        <w:rPr>
          <w:rFonts w:ascii="Times New Roman" w:hAnsi="Times New Roman" w:cs="Times New Roman"/>
          <w:i/>
          <w:iCs/>
        </w:rPr>
        <w:t>.</w:t>
      </w:r>
      <w:r w:rsidR="00B61423">
        <w:rPr>
          <w:rFonts w:ascii="Times New Roman" w:hAnsi="Times New Roman" w:cs="Times New Roman"/>
        </w:rPr>
        <w:t xml:space="preserve">, </w:t>
      </w:r>
      <w:proofErr w:type="spellStart"/>
      <w:proofErr w:type="gramStart"/>
      <w:r w:rsidR="00B61423" w:rsidRPr="00B61423">
        <w:rPr>
          <w:rFonts w:ascii="Times New Roman" w:hAnsi="Times New Roman" w:cs="Times New Roman"/>
        </w:rPr>
        <w:t>Phys.Rev.D</w:t>
      </w:r>
      <w:proofErr w:type="spellEnd"/>
      <w:proofErr w:type="gramEnd"/>
      <w:r w:rsidR="00B61423" w:rsidRPr="00B61423">
        <w:rPr>
          <w:rFonts w:ascii="Times New Roman" w:hAnsi="Times New Roman" w:cs="Times New Roman"/>
        </w:rPr>
        <w:t xml:space="preserve"> 109 (2024) 3, 034023</w:t>
      </w:r>
      <w:r w:rsidR="00B61423">
        <w:rPr>
          <w:rFonts w:ascii="Times New Roman" w:hAnsi="Times New Roman" w:cs="Times New Roman"/>
        </w:rPr>
        <w:t>.</w:t>
      </w:r>
    </w:p>
  </w:footnote>
  <w:footnote w:id="8">
    <w:p w:rsidR="00FB50CF" w:rsidRPr="00FB50CF" w:rsidRDefault="00FB50CF" w:rsidP="00FB50CF">
      <w:pPr>
        <w:pStyle w:val="FootnoteText"/>
        <w:rPr>
          <w:lang w:val="fr-FR"/>
        </w:rPr>
      </w:pPr>
      <w:r w:rsidRPr="00B61423">
        <w:rPr>
          <w:rStyle w:val="FootnoteReference"/>
        </w:rPr>
        <w:footnoteRef/>
      </w:r>
      <w:r w:rsidRPr="00B61423">
        <w:t xml:space="preserve"> </w:t>
      </w:r>
      <w:r w:rsidR="00445A23" w:rsidRPr="00445A23">
        <w:t>MAP Collaboration, e-Print: 2404.04712.</w:t>
      </w:r>
    </w:p>
  </w:footnote>
  <w:footnote w:id="9">
    <w:p w:rsidR="00FB50CF" w:rsidRPr="00445A23" w:rsidRDefault="00FB50CF" w:rsidP="00FB50CF">
      <w:pPr>
        <w:pStyle w:val="HTMLPreformatted"/>
        <w:shd w:val="clear" w:color="auto" w:fill="FFFFFF"/>
        <w:rPr>
          <w:rFonts w:ascii="Times New Roman" w:hAnsi="Times New Roman" w:cs="Times New Roman"/>
          <w:lang w:val="en-US"/>
        </w:rPr>
      </w:pPr>
      <w:r>
        <w:rPr>
          <w:rStyle w:val="FootnoteReference"/>
        </w:rPr>
        <w:footnoteRef/>
      </w:r>
      <w:r w:rsidRPr="00445A23">
        <w:rPr>
          <w:lang w:val="en-US"/>
        </w:rPr>
        <w:t xml:space="preserve"> </w:t>
      </w:r>
      <w:r w:rsidR="00445A23" w:rsidRPr="00445A23">
        <w:rPr>
          <w:rFonts w:ascii="Times New Roman" w:hAnsi="Times New Roman" w:cs="Times New Roman"/>
          <w:lang w:val="en-US"/>
        </w:rPr>
        <w:t xml:space="preserve">V. Bertone, A. Karlberg, </w:t>
      </w:r>
      <w:proofErr w:type="spellStart"/>
      <w:r w:rsidR="00445A23" w:rsidRPr="00445A23">
        <w:rPr>
          <w:rFonts w:ascii="Times New Roman" w:hAnsi="Times New Roman" w:cs="Times New Roman"/>
          <w:lang w:val="en-US"/>
        </w:rPr>
        <w:t>Eur.Phys.J.C</w:t>
      </w:r>
      <w:proofErr w:type="spellEnd"/>
      <w:r w:rsidR="00445A23" w:rsidRPr="00445A23">
        <w:rPr>
          <w:rFonts w:ascii="Times New Roman" w:hAnsi="Times New Roman" w:cs="Times New Roman"/>
          <w:lang w:val="en-US"/>
        </w:rPr>
        <w:t xml:space="preserve"> 84 (2024) 8, 774</w:t>
      </w:r>
      <w:r w:rsidR="00445A23">
        <w:rPr>
          <w:rFonts w:ascii="Times New Roman" w:hAnsi="Times New Roman" w:cs="Times New Roman"/>
          <w:lang w:val="en-US"/>
        </w:rPr>
        <w:t>.</w:t>
      </w:r>
    </w:p>
  </w:footnote>
  <w:footnote w:id="10">
    <w:p w:rsidR="00FB50CF" w:rsidRPr="008D4AED" w:rsidRDefault="00FB50CF" w:rsidP="00FB50CF">
      <w:pPr>
        <w:pStyle w:val="FootnoteText"/>
        <w:rPr>
          <w:lang w:val="fr-FR"/>
        </w:rPr>
      </w:pPr>
      <w:r>
        <w:rPr>
          <w:rStyle w:val="FootnoteReference"/>
        </w:rPr>
        <w:footnoteRef/>
      </w:r>
      <w:r>
        <w:t xml:space="preserve"> </w:t>
      </w:r>
      <w:r w:rsidR="00445A23" w:rsidRPr="008D4AED">
        <w:rPr>
          <w:lang w:val="fr-FR"/>
        </w:rPr>
        <w:t xml:space="preserve">MAP Collaboration, </w:t>
      </w:r>
      <w:r w:rsidR="00216145" w:rsidRPr="008D4AED">
        <w:rPr>
          <w:lang w:val="fr-FR"/>
        </w:rPr>
        <w:t>JHEP 08 (2024) 232</w:t>
      </w:r>
      <w:r w:rsidRPr="008D4AED">
        <w:rPr>
          <w:lang w:val="fr-FR"/>
        </w:rPr>
        <w:t>.</w:t>
      </w:r>
    </w:p>
  </w:footnote>
  <w:footnote w:id="11">
    <w:p w:rsidR="00FB50CF" w:rsidRPr="008D4AED" w:rsidRDefault="00FB50CF" w:rsidP="00FB50CF">
      <w:pPr>
        <w:pStyle w:val="FootnoteText"/>
        <w:rPr>
          <w:lang w:val="fr-FR"/>
        </w:rPr>
      </w:pPr>
      <w:r>
        <w:rPr>
          <w:rStyle w:val="FootnoteReference"/>
        </w:rPr>
        <w:footnoteRef/>
      </w:r>
      <w:r w:rsidRPr="008D4AED">
        <w:rPr>
          <w:lang w:val="fr-FR"/>
        </w:rPr>
        <w:t xml:space="preserve"> V. Bertone</w:t>
      </w:r>
      <w:r w:rsidR="00216145" w:rsidRPr="008D4AED">
        <w:rPr>
          <w:lang w:val="fr-FR"/>
        </w:rPr>
        <w:t xml:space="preserve">, G. </w:t>
      </w:r>
      <w:proofErr w:type="spellStart"/>
      <w:r w:rsidR="00216145" w:rsidRPr="008D4AED">
        <w:rPr>
          <w:lang w:val="fr-FR"/>
        </w:rPr>
        <w:t>Bozzi</w:t>
      </w:r>
      <w:proofErr w:type="spellEnd"/>
      <w:r w:rsidR="00216145" w:rsidRPr="008D4AED">
        <w:rPr>
          <w:lang w:val="fr-FR"/>
        </w:rPr>
        <w:t xml:space="preserve">, F. </w:t>
      </w:r>
      <w:proofErr w:type="spellStart"/>
      <w:r w:rsidR="00216145" w:rsidRPr="008D4AED">
        <w:rPr>
          <w:lang w:val="fr-FR"/>
        </w:rPr>
        <w:t>Hautmann</w:t>
      </w:r>
      <w:proofErr w:type="spellEnd"/>
      <w:r w:rsidR="00216145" w:rsidRPr="008D4AED">
        <w:rPr>
          <w:lang w:val="fr-FR"/>
        </w:rPr>
        <w:t xml:space="preserve">, </w:t>
      </w:r>
      <w:r w:rsidR="00216145" w:rsidRPr="008D4AED">
        <w:rPr>
          <w:lang w:val="fr-FR"/>
        </w:rPr>
        <w:t>e-</w:t>
      </w:r>
      <w:proofErr w:type="spellStart"/>
      <w:proofErr w:type="gramStart"/>
      <w:r w:rsidR="00216145" w:rsidRPr="008D4AED">
        <w:rPr>
          <w:lang w:val="fr-FR"/>
        </w:rPr>
        <w:t>Print</w:t>
      </w:r>
      <w:proofErr w:type="spellEnd"/>
      <w:r w:rsidR="00216145" w:rsidRPr="008D4AED">
        <w:rPr>
          <w:lang w:val="fr-FR"/>
        </w:rPr>
        <w:t>:</w:t>
      </w:r>
      <w:proofErr w:type="gramEnd"/>
      <w:r w:rsidR="00216145" w:rsidRPr="008D4AED">
        <w:rPr>
          <w:lang w:val="fr-FR"/>
        </w:rPr>
        <w:t xml:space="preserve"> 2407.20842</w:t>
      </w:r>
      <w:r w:rsidRPr="008D4AED">
        <w:rPr>
          <w:lang w:val="fr-FR"/>
        </w:rPr>
        <w:t>.</w:t>
      </w:r>
    </w:p>
  </w:footnote>
  <w:footnote w:id="12">
    <w:p w:rsidR="00FB50CF" w:rsidRPr="008D4AED" w:rsidRDefault="00FB50CF" w:rsidP="00FB50CF">
      <w:pPr>
        <w:pStyle w:val="FootnoteText"/>
        <w:rPr>
          <w:lang w:val="fr-FR"/>
        </w:rPr>
      </w:pPr>
      <w:r>
        <w:rPr>
          <w:rStyle w:val="FootnoteReference"/>
        </w:rPr>
        <w:footnoteRef/>
      </w:r>
      <w:r w:rsidRPr="00432FF5">
        <w:t xml:space="preserve"> </w:t>
      </w:r>
      <w:r w:rsidR="0093448F" w:rsidRPr="008D4AED">
        <w:rPr>
          <w:lang w:val="fr-FR"/>
        </w:rPr>
        <w:t xml:space="preserve">M. </w:t>
      </w:r>
      <w:proofErr w:type="spellStart"/>
      <w:r w:rsidR="0093448F" w:rsidRPr="008D4AED">
        <w:rPr>
          <w:lang w:val="fr-FR"/>
        </w:rPr>
        <w:t>Reberdy</w:t>
      </w:r>
      <w:proofErr w:type="spellEnd"/>
      <w:r w:rsidR="0093448F" w:rsidRPr="008D4AED">
        <w:rPr>
          <w:lang w:val="fr-FR"/>
        </w:rPr>
        <w:t xml:space="preserve"> </w:t>
      </w:r>
      <w:r w:rsidR="0093448F" w:rsidRPr="008D4AED">
        <w:rPr>
          <w:i/>
          <w:iCs/>
          <w:lang w:val="fr-FR"/>
        </w:rPr>
        <w:t>et al.</w:t>
      </w:r>
      <w:r w:rsidR="0093448F" w:rsidRPr="008D4AED">
        <w:rPr>
          <w:lang w:val="fr-FR"/>
        </w:rPr>
        <w:t xml:space="preserve">, </w:t>
      </w:r>
      <w:proofErr w:type="spellStart"/>
      <w:r w:rsidR="0093448F" w:rsidRPr="008D4AED">
        <w:rPr>
          <w:lang w:val="fr-FR"/>
        </w:rPr>
        <w:t>Eur.Phys.J.C</w:t>
      </w:r>
      <w:proofErr w:type="spellEnd"/>
      <w:r w:rsidR="0093448F" w:rsidRPr="008D4AED">
        <w:rPr>
          <w:lang w:val="fr-FR"/>
        </w:rPr>
        <w:t xml:space="preserve"> 84 (2024) 2, 201</w:t>
      </w:r>
      <w:r w:rsidR="0093448F" w:rsidRPr="008D4AED">
        <w:rPr>
          <w:lang w:val="fr-FR"/>
        </w:rPr>
        <w:t>.</w:t>
      </w:r>
    </w:p>
  </w:footnote>
  <w:footnote w:id="13">
    <w:p w:rsidR="008D4AED" w:rsidRPr="008D4AED" w:rsidRDefault="008D4AED" w:rsidP="008D4AED">
      <w:pPr>
        <w:pStyle w:val="FootnoteText"/>
        <w:rPr>
          <w:lang w:val="fr-FR"/>
        </w:rPr>
      </w:pPr>
      <w:r>
        <w:rPr>
          <w:rStyle w:val="FootnoteReference"/>
        </w:rPr>
        <w:footnoteRef/>
      </w:r>
      <w:r>
        <w:rPr>
          <w:lang w:val="fr-FR"/>
        </w:rPr>
        <w:t xml:space="preserve"> </w:t>
      </w:r>
      <w:r w:rsidRPr="008D4AED">
        <w:rPr>
          <w:lang w:val="fr-FR"/>
        </w:rPr>
        <w:t xml:space="preserve">P. </w:t>
      </w:r>
      <w:proofErr w:type="spellStart"/>
      <w:r w:rsidRPr="008D4AED">
        <w:rPr>
          <w:lang w:val="fr-FR"/>
        </w:rPr>
        <w:t>Dall</w:t>
      </w:r>
      <w:r>
        <w:rPr>
          <w:lang w:val="fr-FR"/>
        </w:rPr>
        <w:t>’</w:t>
      </w:r>
      <w:r w:rsidRPr="008D4AED">
        <w:rPr>
          <w:lang w:val="fr-FR"/>
        </w:rPr>
        <w:t>Olio</w:t>
      </w:r>
      <w:proofErr w:type="spellEnd"/>
      <w:r w:rsidRPr="008D4AED">
        <w:rPr>
          <w:lang w:val="fr-FR"/>
        </w:rPr>
        <w:t xml:space="preserve"> </w:t>
      </w:r>
      <w:r w:rsidRPr="008D4AED">
        <w:rPr>
          <w:i/>
          <w:iCs/>
          <w:lang w:val="fr-FR"/>
        </w:rPr>
        <w:t>et al</w:t>
      </w:r>
      <w:proofErr w:type="gramStart"/>
      <w:r w:rsidRPr="008D4AED">
        <w:rPr>
          <w:i/>
          <w:iCs/>
          <w:lang w:val="fr-FR"/>
        </w:rPr>
        <w:t>.</w:t>
      </w:r>
      <w:r w:rsidRPr="008D4AED">
        <w:rPr>
          <w:lang w:val="fr-FR"/>
        </w:rPr>
        <w:t xml:space="preserve">,  </w:t>
      </w:r>
      <w:proofErr w:type="spellStart"/>
      <w:r w:rsidRPr="008D4AED">
        <w:rPr>
          <w:lang w:val="fr-FR"/>
        </w:rPr>
        <w:t>Phys.Rev</w:t>
      </w:r>
      <w:proofErr w:type="gramEnd"/>
      <w:r w:rsidRPr="008D4AED">
        <w:rPr>
          <w:lang w:val="fr-FR"/>
        </w:rPr>
        <w:t>.D</w:t>
      </w:r>
      <w:proofErr w:type="spellEnd"/>
      <w:r w:rsidRPr="008D4AED">
        <w:rPr>
          <w:lang w:val="fr-FR"/>
        </w:rPr>
        <w:t xml:space="preserve"> 109 (2024) 9, 096013.</w:t>
      </w:r>
    </w:p>
  </w:footnote>
  <w:footnote w:id="14">
    <w:p w:rsidR="008D4AED" w:rsidRPr="008D4AED" w:rsidRDefault="008D4AED" w:rsidP="008D4AED">
      <w:pPr>
        <w:pStyle w:val="FootnoteText"/>
        <w:rPr>
          <w:lang w:val="fr-FR"/>
        </w:rPr>
      </w:pPr>
      <w:r>
        <w:rPr>
          <w:rStyle w:val="FootnoteReference"/>
        </w:rPr>
        <w:footnoteRef/>
      </w:r>
      <w:r>
        <w:rPr>
          <w:lang w:val="fr-FR"/>
        </w:rPr>
        <w:t xml:space="preserve"> </w:t>
      </w:r>
      <w:r w:rsidRPr="008D4AED">
        <w:rPr>
          <w:lang w:val="fr-FR"/>
        </w:rPr>
        <w:t>B. B</w:t>
      </w:r>
      <w:proofErr w:type="spellStart"/>
      <w:r w:rsidRPr="008D4AED">
        <w:rPr>
          <w:lang w:val="fr-FR"/>
        </w:rPr>
        <w:t>lossier</w:t>
      </w:r>
      <w:proofErr w:type="spellEnd"/>
      <w:r w:rsidRPr="008D4AED">
        <w:rPr>
          <w:lang w:val="fr-FR"/>
        </w:rPr>
        <w:t xml:space="preserve"> </w:t>
      </w:r>
      <w:r w:rsidRPr="008D4AED">
        <w:rPr>
          <w:i/>
          <w:iCs/>
          <w:lang w:val="fr-FR"/>
        </w:rPr>
        <w:t>et al.</w:t>
      </w:r>
      <w:r w:rsidRPr="008D4AED">
        <w:rPr>
          <w:lang w:val="fr-FR"/>
        </w:rPr>
        <w:t>, JHEP 09 (2024) 079.</w:t>
      </w:r>
    </w:p>
  </w:footnote>
  <w:footnote w:id="15">
    <w:p w:rsidR="008D4AED" w:rsidRPr="008D4AED" w:rsidRDefault="008D4AED" w:rsidP="008D4AED">
      <w:pPr>
        <w:pStyle w:val="FootnoteText"/>
        <w:rPr>
          <w:lang w:val="fr-FR"/>
        </w:rPr>
      </w:pPr>
      <w:r>
        <w:rPr>
          <w:rStyle w:val="FootnoteReference"/>
        </w:rPr>
        <w:footnoteRef/>
      </w:r>
      <w:r>
        <w:rPr>
          <w:lang w:val="fr-FR"/>
        </w:rPr>
        <w:t xml:space="preserve"> </w:t>
      </w:r>
      <w:r w:rsidRPr="008D4AED">
        <w:rPr>
          <w:lang w:val="fr-FR"/>
        </w:rPr>
        <w:t xml:space="preserve">C. </w:t>
      </w:r>
      <w:proofErr w:type="spellStart"/>
      <w:r w:rsidRPr="008D4AED">
        <w:rPr>
          <w:lang w:val="fr-FR"/>
        </w:rPr>
        <w:t>Flett</w:t>
      </w:r>
      <w:proofErr w:type="spellEnd"/>
      <w:r w:rsidRPr="008D4AED">
        <w:rPr>
          <w:lang w:val="fr-FR"/>
        </w:rPr>
        <w:t xml:space="preserve"> </w:t>
      </w:r>
      <w:r w:rsidRPr="007274C7">
        <w:rPr>
          <w:i/>
          <w:iCs/>
          <w:lang w:val="fr-FR"/>
        </w:rPr>
        <w:t>et al.</w:t>
      </w:r>
      <w:r w:rsidRPr="008D4AED">
        <w:rPr>
          <w:lang w:val="fr-FR"/>
        </w:rPr>
        <w:t>, e-</w:t>
      </w:r>
      <w:proofErr w:type="spellStart"/>
      <w:proofErr w:type="gramStart"/>
      <w:r w:rsidRPr="008D4AED">
        <w:rPr>
          <w:lang w:val="fr-FR"/>
        </w:rPr>
        <w:t>Print</w:t>
      </w:r>
      <w:proofErr w:type="spellEnd"/>
      <w:r w:rsidRPr="008D4AED">
        <w:rPr>
          <w:lang w:val="fr-FR"/>
        </w:rPr>
        <w:t>:</w:t>
      </w:r>
      <w:proofErr w:type="gramEnd"/>
      <w:r w:rsidRPr="008D4AED">
        <w:rPr>
          <w:lang w:val="fr-FR"/>
        </w:rPr>
        <w:t xml:space="preserve"> 2409.05738</w:t>
      </w:r>
      <w:r>
        <w:rPr>
          <w:lang w:val="fr-FR"/>
        </w:rPr>
        <w:t>.</w:t>
      </w:r>
    </w:p>
  </w:footnote>
  <w:footnote w:id="16">
    <w:p w:rsidR="007274C7" w:rsidRPr="008D4AED" w:rsidRDefault="007274C7" w:rsidP="007274C7">
      <w:pPr>
        <w:pStyle w:val="FootnoteText"/>
        <w:rPr>
          <w:lang w:val="fr-FR"/>
        </w:rPr>
      </w:pPr>
      <w:r>
        <w:rPr>
          <w:rStyle w:val="FootnoteReference"/>
        </w:rPr>
        <w:footnoteRef/>
      </w:r>
      <w:r>
        <w:rPr>
          <w:lang w:val="fr-FR"/>
        </w:rPr>
        <w:t xml:space="preserve"> </w:t>
      </w:r>
      <w:r w:rsidRPr="007274C7">
        <w:rPr>
          <w:lang w:val="fr-FR"/>
        </w:rPr>
        <w:t>K</w:t>
      </w:r>
      <w:r>
        <w:rPr>
          <w:lang w:val="fr-FR"/>
        </w:rPr>
        <w:t xml:space="preserve">. </w:t>
      </w:r>
      <w:r w:rsidRPr="007274C7">
        <w:rPr>
          <w:lang w:val="fr-FR"/>
        </w:rPr>
        <w:t>M. Semenov-Tian-</w:t>
      </w:r>
      <w:proofErr w:type="spellStart"/>
      <w:r w:rsidRPr="007274C7">
        <w:rPr>
          <w:lang w:val="fr-FR"/>
        </w:rPr>
        <w:t>Shansky</w:t>
      </w:r>
      <w:proofErr w:type="spellEnd"/>
      <w:r w:rsidRPr="007274C7">
        <w:rPr>
          <w:lang w:val="fr-FR"/>
        </w:rPr>
        <w:t xml:space="preserve"> </w:t>
      </w:r>
      <w:r w:rsidRPr="007274C7">
        <w:rPr>
          <w:i/>
          <w:iCs/>
          <w:lang w:val="fr-FR"/>
        </w:rPr>
        <w:t>et al.</w:t>
      </w:r>
      <w:r w:rsidRPr="007274C7">
        <w:rPr>
          <w:lang w:val="fr-FR"/>
        </w:rPr>
        <w:t xml:space="preserve">, </w:t>
      </w:r>
      <w:proofErr w:type="spellStart"/>
      <w:proofErr w:type="gramStart"/>
      <w:r w:rsidRPr="007274C7">
        <w:rPr>
          <w:lang w:val="fr-FR"/>
        </w:rPr>
        <w:t>Phys.Rev.D</w:t>
      </w:r>
      <w:proofErr w:type="spellEnd"/>
      <w:proofErr w:type="gramEnd"/>
      <w:r w:rsidRPr="007274C7">
        <w:rPr>
          <w:lang w:val="fr-FR"/>
        </w:rPr>
        <w:t xml:space="preserve"> 109 (2024) 5, 054010</w:t>
      </w:r>
      <w:r>
        <w:rPr>
          <w:lang w:val="fr-FR"/>
        </w:rPr>
        <w:t>.</w:t>
      </w:r>
    </w:p>
  </w:footnote>
  <w:footnote w:id="17">
    <w:p w:rsidR="007274C7" w:rsidRPr="008D4AED" w:rsidRDefault="007274C7" w:rsidP="007274C7">
      <w:pPr>
        <w:pStyle w:val="FootnoteText"/>
        <w:rPr>
          <w:lang w:val="fr-FR"/>
        </w:rPr>
      </w:pPr>
      <w:r>
        <w:rPr>
          <w:rStyle w:val="FootnoteReference"/>
        </w:rPr>
        <w:footnoteRef/>
      </w:r>
      <w:r>
        <w:rPr>
          <w:lang w:val="fr-FR"/>
        </w:rPr>
        <w:t xml:space="preserve"> </w:t>
      </w:r>
      <w:r w:rsidRPr="007274C7">
        <w:rPr>
          <w:lang w:val="fr-FR"/>
        </w:rPr>
        <w:t>K. D</w:t>
      </w:r>
      <w:proofErr w:type="spellStart"/>
      <w:r w:rsidRPr="007274C7">
        <w:rPr>
          <w:lang w:val="fr-FR"/>
        </w:rPr>
        <w:t>eja</w:t>
      </w:r>
      <w:proofErr w:type="spellEnd"/>
      <w:r w:rsidRPr="007274C7">
        <w:rPr>
          <w:lang w:val="fr-FR"/>
        </w:rPr>
        <w:t xml:space="preserve"> </w:t>
      </w:r>
      <w:r w:rsidRPr="007274C7">
        <w:rPr>
          <w:i/>
          <w:iCs/>
          <w:lang w:val="fr-FR"/>
        </w:rPr>
        <w:t>et al.</w:t>
      </w:r>
      <w:r w:rsidRPr="007274C7">
        <w:rPr>
          <w:lang w:val="fr-FR"/>
        </w:rPr>
        <w:t xml:space="preserve">, </w:t>
      </w:r>
      <w:proofErr w:type="spellStart"/>
      <w:proofErr w:type="gramStart"/>
      <w:r w:rsidRPr="007274C7">
        <w:rPr>
          <w:lang w:val="fr-FR"/>
        </w:rPr>
        <w:t>Phys.Rev.D</w:t>
      </w:r>
      <w:proofErr w:type="spellEnd"/>
      <w:proofErr w:type="gramEnd"/>
      <w:r w:rsidRPr="007274C7">
        <w:rPr>
          <w:lang w:val="fr-FR"/>
        </w:rPr>
        <w:t xml:space="preserve"> 107 (2023) 9, 094035, </w:t>
      </w:r>
      <w:proofErr w:type="spellStart"/>
      <w:r w:rsidRPr="007274C7">
        <w:rPr>
          <w:lang w:val="fr-FR"/>
        </w:rPr>
        <w:t>Phys.Rev.D</w:t>
      </w:r>
      <w:proofErr w:type="spellEnd"/>
      <w:r w:rsidRPr="007274C7">
        <w:rPr>
          <w:lang w:val="fr-FR"/>
        </w:rPr>
        <w:t xml:space="preserve"> 107 (2023) 9.</w:t>
      </w:r>
    </w:p>
  </w:footnote>
  <w:footnote w:id="18">
    <w:p w:rsidR="007274C7" w:rsidRPr="008D4AED" w:rsidRDefault="007274C7" w:rsidP="007274C7">
      <w:pPr>
        <w:pStyle w:val="FootnoteText"/>
        <w:rPr>
          <w:lang w:val="fr-FR"/>
        </w:rPr>
      </w:pPr>
      <w:r>
        <w:rPr>
          <w:rStyle w:val="FootnoteReference"/>
        </w:rPr>
        <w:footnoteRef/>
      </w:r>
      <w:r>
        <w:rPr>
          <w:lang w:val="fr-FR"/>
        </w:rPr>
        <w:t xml:space="preserve"> </w:t>
      </w:r>
      <w:r w:rsidRPr="007274C7">
        <w:rPr>
          <w:lang w:val="fr-FR"/>
        </w:rPr>
        <w:t xml:space="preserve">E.C. </w:t>
      </w:r>
      <w:proofErr w:type="spellStart"/>
      <w:r w:rsidRPr="007274C7">
        <w:rPr>
          <w:lang w:val="fr-FR"/>
        </w:rPr>
        <w:t>Aschenauer</w:t>
      </w:r>
      <w:proofErr w:type="spellEnd"/>
      <w:r w:rsidRPr="007274C7">
        <w:rPr>
          <w:lang w:val="fr-FR"/>
        </w:rPr>
        <w:t xml:space="preserve"> </w:t>
      </w:r>
      <w:r w:rsidRPr="007274C7">
        <w:rPr>
          <w:i/>
          <w:iCs/>
          <w:lang w:val="fr-FR"/>
        </w:rPr>
        <w:t>et al.</w:t>
      </w:r>
      <w:r w:rsidRPr="007274C7">
        <w:rPr>
          <w:lang w:val="fr-FR"/>
        </w:rPr>
        <w:t xml:space="preserve">, </w:t>
      </w:r>
      <w:proofErr w:type="spellStart"/>
      <w:r w:rsidRPr="007274C7">
        <w:rPr>
          <w:lang w:val="fr-FR"/>
        </w:rPr>
        <w:t>Eur.Phys.J.C</w:t>
      </w:r>
      <w:proofErr w:type="spellEnd"/>
      <w:r w:rsidRPr="007274C7">
        <w:rPr>
          <w:lang w:val="fr-FR"/>
        </w:rPr>
        <w:t xml:space="preserve"> 82 (2022) 9, 819.</w:t>
      </w:r>
    </w:p>
  </w:footnote>
  <w:footnote w:id="19">
    <w:p w:rsidR="007274C7" w:rsidRPr="008D4AED" w:rsidRDefault="007274C7" w:rsidP="007274C7">
      <w:pPr>
        <w:pStyle w:val="FootnoteText"/>
        <w:rPr>
          <w:lang w:val="fr-FR"/>
        </w:rPr>
      </w:pPr>
      <w:r>
        <w:rPr>
          <w:rStyle w:val="FootnoteReference"/>
        </w:rPr>
        <w:footnoteRef/>
      </w:r>
      <w:r>
        <w:rPr>
          <w:lang w:val="fr-FR"/>
        </w:rPr>
        <w:t xml:space="preserve"> </w:t>
      </w:r>
      <w:r w:rsidRPr="007274C7">
        <w:rPr>
          <w:lang w:val="fr-FR"/>
        </w:rPr>
        <w:t xml:space="preserve">O, </w:t>
      </w:r>
      <w:proofErr w:type="spellStart"/>
      <w:r w:rsidRPr="007274C7">
        <w:rPr>
          <w:lang w:val="fr-FR"/>
        </w:rPr>
        <w:t>Grocholski</w:t>
      </w:r>
      <w:proofErr w:type="spellEnd"/>
      <w:r w:rsidRPr="007274C7">
        <w:rPr>
          <w:lang w:val="fr-FR"/>
        </w:rPr>
        <w:t xml:space="preserve"> </w:t>
      </w:r>
      <w:r w:rsidRPr="007274C7">
        <w:rPr>
          <w:i/>
          <w:iCs/>
          <w:lang w:val="fr-FR"/>
        </w:rPr>
        <w:t>et al.</w:t>
      </w:r>
      <w:r w:rsidRPr="007274C7">
        <w:rPr>
          <w:lang w:val="fr-FR"/>
        </w:rPr>
        <w:t xml:space="preserve">, </w:t>
      </w:r>
      <w:proofErr w:type="spellStart"/>
      <w:proofErr w:type="gramStart"/>
      <w:r w:rsidRPr="007274C7">
        <w:rPr>
          <w:lang w:val="fr-FR"/>
        </w:rPr>
        <w:t>Phys.Rev.D</w:t>
      </w:r>
      <w:proofErr w:type="spellEnd"/>
      <w:proofErr w:type="gramEnd"/>
      <w:r w:rsidRPr="007274C7">
        <w:rPr>
          <w:lang w:val="fr-FR"/>
        </w:rPr>
        <w:t xml:space="preserve"> 105 (2022) 9, 094025.</w:t>
      </w:r>
    </w:p>
  </w:footnote>
  <w:footnote w:id="20">
    <w:p w:rsidR="00B06E93" w:rsidRPr="008D4AED" w:rsidRDefault="00B06E93" w:rsidP="00B06E93">
      <w:pPr>
        <w:pStyle w:val="FootnoteText"/>
        <w:rPr>
          <w:lang w:val="fr-FR"/>
        </w:rPr>
      </w:pPr>
      <w:r>
        <w:rPr>
          <w:rStyle w:val="FootnoteReference"/>
        </w:rPr>
        <w:footnoteRef/>
      </w:r>
      <w:r>
        <w:rPr>
          <w:lang w:val="fr-FR"/>
        </w:rPr>
        <w:t xml:space="preserve"> </w:t>
      </w:r>
      <w:r w:rsidR="00E8399B" w:rsidRPr="00E8399B">
        <w:rPr>
          <w:lang w:val="fr-FR"/>
        </w:rPr>
        <w:t xml:space="preserve">H. Dutrieux </w:t>
      </w:r>
      <w:r w:rsidR="00E8399B" w:rsidRPr="00E8399B">
        <w:rPr>
          <w:i/>
          <w:iCs/>
          <w:lang w:val="fr-FR"/>
        </w:rPr>
        <w:t>et al.</w:t>
      </w:r>
      <w:r w:rsidR="00E8399B" w:rsidRPr="00E8399B">
        <w:rPr>
          <w:lang w:val="fr-FR"/>
        </w:rPr>
        <w:t xml:space="preserve">, JHEP 04 (2024) </w:t>
      </w:r>
      <w:proofErr w:type="gramStart"/>
      <w:r w:rsidR="00E8399B" w:rsidRPr="00E8399B">
        <w:rPr>
          <w:lang w:val="fr-FR"/>
        </w:rPr>
        <w:t>061.</w:t>
      </w:r>
      <w:r w:rsidRPr="007274C7">
        <w:rPr>
          <w:lang w:val="fr-FR"/>
        </w:rPr>
        <w:t>.</w:t>
      </w:r>
      <w:proofErr w:type="gramEnd"/>
    </w:p>
  </w:footnote>
  <w:footnote w:id="21">
    <w:p w:rsidR="007C7FD6" w:rsidRDefault="007C7FD6" w:rsidP="007C7FD6">
      <w:pPr>
        <w:pStyle w:val="FootnoteText"/>
      </w:pPr>
      <w:r>
        <w:rPr>
          <w:rStyle w:val="FootnoteReference"/>
        </w:rPr>
        <w:footnoteRef/>
      </w:r>
      <w:r>
        <w:t xml:space="preserve"> </w:t>
      </w:r>
      <w:r w:rsidRPr="00875362">
        <w:t xml:space="preserve">B. Berthou </w:t>
      </w:r>
      <w:r w:rsidRPr="00875362">
        <w:rPr>
          <w:i/>
          <w:iCs/>
        </w:rPr>
        <w:t>et al.</w:t>
      </w:r>
      <w:r w:rsidRPr="00875362">
        <w:t>,</w:t>
      </w:r>
      <w:r>
        <w:t xml:space="preserve"> </w:t>
      </w:r>
      <w:r w:rsidRPr="00875362">
        <w:t xml:space="preserve">Eur. Phys. J. </w:t>
      </w:r>
      <w:r w:rsidRPr="00875362">
        <w:rPr>
          <w:b/>
          <w:bCs/>
        </w:rPr>
        <w:t>C78</w:t>
      </w:r>
      <w:r w:rsidRPr="00875362">
        <w:t xml:space="preserve"> (2018) 478</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6398F"/>
    <w:multiLevelType w:val="hybridMultilevel"/>
    <w:tmpl w:val="D80CE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69521D"/>
    <w:multiLevelType w:val="hybridMultilevel"/>
    <w:tmpl w:val="25DE0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F260BA"/>
    <w:multiLevelType w:val="hybridMultilevel"/>
    <w:tmpl w:val="25E2A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E9C1666"/>
    <w:multiLevelType w:val="hybridMultilevel"/>
    <w:tmpl w:val="545816C4"/>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F37622E"/>
    <w:multiLevelType w:val="multilevel"/>
    <w:tmpl w:val="831A24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908543251">
    <w:abstractNumId w:val="4"/>
  </w:num>
  <w:num w:numId="2" w16cid:durableId="1637758270">
    <w:abstractNumId w:val="3"/>
  </w:num>
  <w:num w:numId="3" w16cid:durableId="758058415">
    <w:abstractNumId w:val="0"/>
  </w:num>
  <w:num w:numId="4" w16cid:durableId="301159563">
    <w:abstractNumId w:val="1"/>
  </w:num>
  <w:num w:numId="5" w16cid:durableId="1976911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CE2"/>
    <w:rsid w:val="00022024"/>
    <w:rsid w:val="00045C2F"/>
    <w:rsid w:val="00073E3A"/>
    <w:rsid w:val="0009543D"/>
    <w:rsid w:val="000A2383"/>
    <w:rsid w:val="000A3C23"/>
    <w:rsid w:val="000C46B6"/>
    <w:rsid w:val="000F34DD"/>
    <w:rsid w:val="00106227"/>
    <w:rsid w:val="00151F0A"/>
    <w:rsid w:val="00175C57"/>
    <w:rsid w:val="00191F60"/>
    <w:rsid w:val="001F2988"/>
    <w:rsid w:val="00216145"/>
    <w:rsid w:val="002562CA"/>
    <w:rsid w:val="0028775D"/>
    <w:rsid w:val="002928FF"/>
    <w:rsid w:val="002A5C14"/>
    <w:rsid w:val="002E6286"/>
    <w:rsid w:val="00337B21"/>
    <w:rsid w:val="0035541F"/>
    <w:rsid w:val="0036484C"/>
    <w:rsid w:val="003C77A4"/>
    <w:rsid w:val="003D79F5"/>
    <w:rsid w:val="003E7374"/>
    <w:rsid w:val="004270AC"/>
    <w:rsid w:val="00445A23"/>
    <w:rsid w:val="0045008A"/>
    <w:rsid w:val="004619E3"/>
    <w:rsid w:val="0046501C"/>
    <w:rsid w:val="0047011C"/>
    <w:rsid w:val="004F0077"/>
    <w:rsid w:val="0058531A"/>
    <w:rsid w:val="00597432"/>
    <w:rsid w:val="0059790C"/>
    <w:rsid w:val="005D35E6"/>
    <w:rsid w:val="005E73E6"/>
    <w:rsid w:val="005F19C0"/>
    <w:rsid w:val="005F20A8"/>
    <w:rsid w:val="00604C5B"/>
    <w:rsid w:val="006406CE"/>
    <w:rsid w:val="006432E1"/>
    <w:rsid w:val="00647BDF"/>
    <w:rsid w:val="00650711"/>
    <w:rsid w:val="006532BD"/>
    <w:rsid w:val="00681267"/>
    <w:rsid w:val="006F471E"/>
    <w:rsid w:val="00700CE2"/>
    <w:rsid w:val="00724685"/>
    <w:rsid w:val="007274C7"/>
    <w:rsid w:val="007A4766"/>
    <w:rsid w:val="007B68E9"/>
    <w:rsid w:val="007C7FD6"/>
    <w:rsid w:val="00835962"/>
    <w:rsid w:val="00874368"/>
    <w:rsid w:val="008D4AED"/>
    <w:rsid w:val="00920DE9"/>
    <w:rsid w:val="0093448F"/>
    <w:rsid w:val="00994EE4"/>
    <w:rsid w:val="009E685A"/>
    <w:rsid w:val="00A01DA6"/>
    <w:rsid w:val="00A05DC8"/>
    <w:rsid w:val="00A54DA0"/>
    <w:rsid w:val="00A55A23"/>
    <w:rsid w:val="00A93525"/>
    <w:rsid w:val="00AC0D19"/>
    <w:rsid w:val="00AF02DE"/>
    <w:rsid w:val="00AF5205"/>
    <w:rsid w:val="00B06E93"/>
    <w:rsid w:val="00B61423"/>
    <w:rsid w:val="00B637D6"/>
    <w:rsid w:val="00B829CE"/>
    <w:rsid w:val="00BA39DA"/>
    <w:rsid w:val="00BC299B"/>
    <w:rsid w:val="00BF598B"/>
    <w:rsid w:val="00C35C4E"/>
    <w:rsid w:val="00C56396"/>
    <w:rsid w:val="00C83755"/>
    <w:rsid w:val="00CF651B"/>
    <w:rsid w:val="00D07199"/>
    <w:rsid w:val="00D53704"/>
    <w:rsid w:val="00D57327"/>
    <w:rsid w:val="00D665FE"/>
    <w:rsid w:val="00D76789"/>
    <w:rsid w:val="00D83376"/>
    <w:rsid w:val="00DE6F11"/>
    <w:rsid w:val="00E24D65"/>
    <w:rsid w:val="00E44BCB"/>
    <w:rsid w:val="00E8399B"/>
    <w:rsid w:val="00E93514"/>
    <w:rsid w:val="00EA7338"/>
    <w:rsid w:val="00EA7396"/>
    <w:rsid w:val="00EC2103"/>
    <w:rsid w:val="00F05039"/>
    <w:rsid w:val="00F533EC"/>
    <w:rsid w:val="00FB50CF"/>
    <w:rsid w:val="00FF69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B04FD"/>
  <w15:chartTrackingRefBased/>
  <w15:docId w15:val="{7E965392-0E2E-4867-804C-76A565935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C57"/>
    <w:pPr>
      <w:spacing w:after="0" w:line="240" w:lineRule="auto"/>
    </w:pPr>
    <w:rPr>
      <w:rFonts w:ascii="Times New Roman" w:eastAsia="Times New Roman" w:hAnsi="Times New Roman" w:cs="Times New Roman"/>
      <w:sz w:val="24"/>
      <w:szCs w:val="24"/>
      <w:lang w:val="en-FR" w:eastAsia="en-GB"/>
    </w:rPr>
  </w:style>
  <w:style w:type="paragraph" w:styleId="Heading1">
    <w:name w:val="heading 1"/>
    <w:basedOn w:val="Normal"/>
    <w:next w:val="Normal"/>
    <w:link w:val="Heading1Char"/>
    <w:uiPriority w:val="9"/>
    <w:qFormat/>
    <w:rsid w:val="0059790C"/>
    <w:pPr>
      <w:keepNext/>
      <w:keepLines/>
      <w:spacing w:before="240"/>
      <w:outlineLvl w:val="0"/>
    </w:pPr>
    <w:rPr>
      <w:rFonts w:eastAsiaTheme="majorEastAsia" w:cstheme="majorBidi"/>
      <w:color w:val="0070C0"/>
      <w:sz w:val="28"/>
      <w:szCs w:val="32"/>
    </w:rPr>
  </w:style>
  <w:style w:type="paragraph" w:styleId="Heading2">
    <w:name w:val="heading 2"/>
    <w:basedOn w:val="Normal"/>
    <w:next w:val="Normal"/>
    <w:link w:val="Heading2Char"/>
    <w:uiPriority w:val="9"/>
    <w:unhideWhenUsed/>
    <w:qFormat/>
    <w:rsid w:val="00B637D6"/>
    <w:pPr>
      <w:keepNext/>
      <w:keepLines/>
      <w:spacing w:before="4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6532B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00CE2"/>
    <w:rPr>
      <w:sz w:val="20"/>
      <w:szCs w:val="20"/>
    </w:rPr>
  </w:style>
  <w:style w:type="character" w:customStyle="1" w:styleId="FootnoteTextChar">
    <w:name w:val="Footnote Text Char"/>
    <w:basedOn w:val="DefaultParagraphFont"/>
    <w:link w:val="FootnoteText"/>
    <w:uiPriority w:val="99"/>
    <w:rsid w:val="00700CE2"/>
    <w:rPr>
      <w:sz w:val="20"/>
      <w:szCs w:val="20"/>
    </w:rPr>
  </w:style>
  <w:style w:type="character" w:styleId="FootnoteReference">
    <w:name w:val="footnote reference"/>
    <w:basedOn w:val="DefaultParagraphFont"/>
    <w:uiPriority w:val="99"/>
    <w:semiHidden/>
    <w:unhideWhenUsed/>
    <w:rsid w:val="00700CE2"/>
    <w:rPr>
      <w:vertAlign w:val="superscript"/>
    </w:rPr>
  </w:style>
  <w:style w:type="character" w:customStyle="1" w:styleId="Heading1Char">
    <w:name w:val="Heading 1 Char"/>
    <w:basedOn w:val="DefaultParagraphFont"/>
    <w:link w:val="Heading1"/>
    <w:uiPriority w:val="9"/>
    <w:rsid w:val="0059790C"/>
    <w:rPr>
      <w:rFonts w:ascii="Times New Roman" w:eastAsiaTheme="majorEastAsia" w:hAnsi="Times New Roman" w:cstheme="majorBidi"/>
      <w:color w:val="0070C0"/>
      <w:sz w:val="28"/>
      <w:szCs w:val="32"/>
    </w:rPr>
  </w:style>
  <w:style w:type="character" w:customStyle="1" w:styleId="Heading2Char">
    <w:name w:val="Heading 2 Char"/>
    <w:basedOn w:val="DefaultParagraphFont"/>
    <w:link w:val="Heading2"/>
    <w:uiPriority w:val="9"/>
    <w:rsid w:val="00B637D6"/>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6532BD"/>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58531A"/>
    <w:pPr>
      <w:tabs>
        <w:tab w:val="center" w:pos="4536"/>
        <w:tab w:val="right" w:pos="9072"/>
      </w:tabs>
    </w:pPr>
  </w:style>
  <w:style w:type="character" w:customStyle="1" w:styleId="HeaderChar">
    <w:name w:val="Header Char"/>
    <w:basedOn w:val="DefaultParagraphFont"/>
    <w:link w:val="Header"/>
    <w:uiPriority w:val="99"/>
    <w:rsid w:val="0058531A"/>
  </w:style>
  <w:style w:type="paragraph" w:styleId="Footer">
    <w:name w:val="footer"/>
    <w:basedOn w:val="Normal"/>
    <w:link w:val="FooterChar"/>
    <w:uiPriority w:val="99"/>
    <w:unhideWhenUsed/>
    <w:rsid w:val="0058531A"/>
    <w:pPr>
      <w:tabs>
        <w:tab w:val="center" w:pos="4536"/>
        <w:tab w:val="right" w:pos="9072"/>
      </w:tabs>
    </w:pPr>
  </w:style>
  <w:style w:type="character" w:customStyle="1" w:styleId="FooterChar">
    <w:name w:val="Footer Char"/>
    <w:basedOn w:val="DefaultParagraphFont"/>
    <w:link w:val="Footer"/>
    <w:uiPriority w:val="99"/>
    <w:rsid w:val="0058531A"/>
  </w:style>
  <w:style w:type="paragraph" w:styleId="ListParagraph">
    <w:name w:val="List Paragraph"/>
    <w:basedOn w:val="Normal"/>
    <w:uiPriority w:val="34"/>
    <w:qFormat/>
    <w:rsid w:val="009E685A"/>
    <w:pPr>
      <w:ind w:left="720"/>
      <w:contextualSpacing/>
    </w:pPr>
  </w:style>
  <w:style w:type="paragraph" w:customStyle="1" w:styleId="Default">
    <w:name w:val="Default"/>
    <w:rsid w:val="0035541F"/>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563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396"/>
    <w:rPr>
      <w:rFonts w:ascii="Segoe UI" w:hAnsi="Segoe UI" w:cs="Segoe UI"/>
      <w:sz w:val="18"/>
      <w:szCs w:val="18"/>
    </w:rPr>
  </w:style>
  <w:style w:type="table" w:styleId="TableGrid">
    <w:name w:val="Table Grid"/>
    <w:basedOn w:val="TableNormal"/>
    <w:uiPriority w:val="39"/>
    <w:rsid w:val="00994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29CE"/>
    <w:rPr>
      <w:color w:val="0563C1" w:themeColor="hyperlink"/>
      <w:u w:val="single"/>
    </w:rPr>
  </w:style>
  <w:style w:type="character" w:styleId="FollowedHyperlink">
    <w:name w:val="FollowedHyperlink"/>
    <w:basedOn w:val="DefaultParagraphFont"/>
    <w:uiPriority w:val="99"/>
    <w:semiHidden/>
    <w:unhideWhenUsed/>
    <w:rsid w:val="00B829CE"/>
    <w:rPr>
      <w:color w:val="954F72" w:themeColor="followedHyperlink"/>
      <w:u w:val="single"/>
    </w:rPr>
  </w:style>
  <w:style w:type="character" w:styleId="UnresolvedMention">
    <w:name w:val="Unresolved Mention"/>
    <w:basedOn w:val="DefaultParagraphFont"/>
    <w:uiPriority w:val="99"/>
    <w:semiHidden/>
    <w:unhideWhenUsed/>
    <w:rsid w:val="001F2988"/>
    <w:rPr>
      <w:color w:val="605E5C"/>
      <w:shd w:val="clear" w:color="auto" w:fill="E1DFDD"/>
    </w:rPr>
  </w:style>
  <w:style w:type="character" w:customStyle="1" w:styleId="apple-converted-space">
    <w:name w:val="apple-converted-space"/>
    <w:basedOn w:val="DefaultParagraphFont"/>
    <w:rsid w:val="00A55A23"/>
  </w:style>
  <w:style w:type="paragraph" w:styleId="HTMLPreformatted">
    <w:name w:val="HTML Preformatted"/>
    <w:basedOn w:val="Normal"/>
    <w:link w:val="HTMLPreformattedChar"/>
    <w:uiPriority w:val="99"/>
    <w:unhideWhenUsed/>
    <w:rsid w:val="00FB5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FB50CF"/>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23021">
      <w:bodyDiv w:val="1"/>
      <w:marLeft w:val="0"/>
      <w:marRight w:val="0"/>
      <w:marTop w:val="0"/>
      <w:marBottom w:val="0"/>
      <w:divBdr>
        <w:top w:val="none" w:sz="0" w:space="0" w:color="auto"/>
        <w:left w:val="none" w:sz="0" w:space="0" w:color="auto"/>
        <w:bottom w:val="none" w:sz="0" w:space="0" w:color="auto"/>
        <w:right w:val="none" w:sz="0" w:space="0" w:color="auto"/>
      </w:divBdr>
    </w:div>
    <w:div w:id="216014005">
      <w:bodyDiv w:val="1"/>
      <w:marLeft w:val="0"/>
      <w:marRight w:val="0"/>
      <w:marTop w:val="0"/>
      <w:marBottom w:val="0"/>
      <w:divBdr>
        <w:top w:val="none" w:sz="0" w:space="0" w:color="auto"/>
        <w:left w:val="none" w:sz="0" w:space="0" w:color="auto"/>
        <w:bottom w:val="none" w:sz="0" w:space="0" w:color="auto"/>
        <w:right w:val="none" w:sz="0" w:space="0" w:color="auto"/>
      </w:divBdr>
    </w:div>
    <w:div w:id="1060443705">
      <w:bodyDiv w:val="1"/>
      <w:marLeft w:val="0"/>
      <w:marRight w:val="0"/>
      <w:marTop w:val="0"/>
      <w:marBottom w:val="0"/>
      <w:divBdr>
        <w:top w:val="none" w:sz="0" w:space="0" w:color="auto"/>
        <w:left w:val="none" w:sz="0" w:space="0" w:color="auto"/>
        <w:bottom w:val="none" w:sz="0" w:space="0" w:color="auto"/>
        <w:right w:val="none" w:sz="0" w:space="0" w:color="auto"/>
      </w:divBdr>
    </w:div>
    <w:div w:id="1132673707">
      <w:bodyDiv w:val="1"/>
      <w:marLeft w:val="0"/>
      <w:marRight w:val="0"/>
      <w:marTop w:val="0"/>
      <w:marBottom w:val="0"/>
      <w:divBdr>
        <w:top w:val="none" w:sz="0" w:space="0" w:color="auto"/>
        <w:left w:val="none" w:sz="0" w:space="0" w:color="auto"/>
        <w:bottom w:val="none" w:sz="0" w:space="0" w:color="auto"/>
        <w:right w:val="none" w:sz="0" w:space="0" w:color="auto"/>
      </w:divBdr>
    </w:div>
    <w:div w:id="17631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rtons.cea.fr" TargetMode="External"/><Relationship Id="rId13" Type="http://schemas.openxmlformats.org/officeDocument/2006/relationships/hyperlink" Target="http://partons.cea.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MapCollaboration/Denal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pawelsznajder/epi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pawelsznajder/epic" TargetMode="External"/><Relationship Id="rId4" Type="http://schemas.openxmlformats.org/officeDocument/2006/relationships/settings" Target="settings.xml"/><Relationship Id="rId9" Type="http://schemas.openxmlformats.org/officeDocument/2006/relationships/hyperlink" Target="http://www.strong-2020.eu/virtual-access/va2-3dpartons.htm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dpr-info.eu"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459CB-79E2-45D1-9480-24C67E43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Pages>
  <Words>2117</Words>
  <Characters>12068</Characters>
  <Application>Microsoft Office Word</Application>
  <DocSecurity>0</DocSecurity>
  <Lines>100</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valerio.bertone@gmail.com</cp:lastModifiedBy>
  <cp:revision>29</cp:revision>
  <cp:lastPrinted>2020-06-25T12:55:00Z</cp:lastPrinted>
  <dcterms:created xsi:type="dcterms:W3CDTF">2024-07-01T13:46:00Z</dcterms:created>
  <dcterms:modified xsi:type="dcterms:W3CDTF">2024-09-21T13:42:00Z</dcterms:modified>
</cp:coreProperties>
</file>