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35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551B50">
        <w:trPr>
          <w:trHeight w:hRule="exact" w:val="284"/>
        </w:trPr>
        <w:tc>
          <w:tcPr>
            <w:tcW w:w="4323" w:type="dxa"/>
            <w:shd w:val="pct5" w:color="auto" w:fill="auto"/>
            <w:vAlign w:val="center"/>
          </w:tcPr>
          <w:p w:rsidR="00551B50" w:rsidRDefault="00551B50">
            <w:pPr>
              <w:pStyle w:val="Titre6"/>
            </w:pPr>
            <w:r>
              <w:t>Référence du document</w:t>
            </w:r>
          </w:p>
        </w:tc>
      </w:tr>
      <w:tr w:rsidR="00551B50">
        <w:trPr>
          <w:trHeight w:hRule="exact" w:val="284"/>
        </w:trPr>
        <w:tc>
          <w:tcPr>
            <w:tcW w:w="4323" w:type="dxa"/>
            <w:vAlign w:val="center"/>
          </w:tcPr>
          <w:p w:rsidR="00A34726" w:rsidRDefault="00A34726" w:rsidP="00A347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LAPP-ELEC-GENE-CR-</w:t>
            </w:r>
            <w:r w:rsidR="00EF5A01">
              <w:t>02</w:t>
            </w:r>
            <w:r>
              <w:t>.</w:t>
            </w:r>
            <w:r w:rsidR="00D83AF3">
              <w:t>03</w:t>
            </w:r>
            <w:r w:rsidR="00961F2F">
              <w:t>.</w:t>
            </w:r>
            <w:r w:rsidR="00D83AF3">
              <w:t>10</w:t>
            </w:r>
          </w:p>
          <w:p w:rsidR="00551B50" w:rsidRDefault="00551B50">
            <w:pPr>
              <w:spacing w:line="240" w:lineRule="exact"/>
              <w:jc w:val="center"/>
              <w:rPr>
                <w:sz w:val="20"/>
              </w:rPr>
            </w:pPr>
          </w:p>
          <w:p w:rsidR="00551B50" w:rsidRDefault="00551B50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551B50" w:rsidRDefault="00696F59">
      <w:pPr>
        <w:ind w:left="-540"/>
      </w:pPr>
      <w:r w:rsidRPr="00696F59">
        <w:rPr>
          <w:noProof/>
          <w:sz w:val="20"/>
        </w:rPr>
        <w:pict>
          <v:roundrect id="_x0000_s1026" style="position:absolute;left:0;text-align:left;margin-left:304.85pt;margin-top:43.85pt;width:234pt;height:45pt;z-index:251657216;mso-position-horizontal-relative:page;mso-position-vertical-relative:page" arcsize="18723f" filled="f" strokeweight="1.25pt">
            <w10:wrap anchorx="page" anchory="page"/>
          </v:roundrect>
        </w:pict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</w:p>
    <w:p w:rsidR="00551B50" w:rsidRDefault="00696F59">
      <w:pPr>
        <w:ind w:left="-540"/>
      </w:pPr>
      <w:r w:rsidRPr="00696F59">
        <w:rPr>
          <w:noProof/>
          <w:sz w:val="20"/>
        </w:rPr>
        <w:pict>
          <v:roundrect id="_x0000_s1027" style="position:absolute;left:0;text-align:left;margin-left:304.85pt;margin-top:106.85pt;width:234pt;height:45pt;z-index:251658240;mso-position-horizontal-relative:page;mso-position-vertical-relative:page" arcsize="18723f" filled="f" strokeweight="1.25pt">
            <w10:wrap anchorx="page" anchory="page"/>
          </v:roundrect>
        </w:pict>
      </w:r>
    </w:p>
    <w:tbl>
      <w:tblPr>
        <w:tblpPr w:leftFromText="141" w:rightFromText="141" w:vertAnchor="text" w:horzAnchor="margin" w:tblpXSpec="right" w:tblpY="7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551B50">
        <w:trPr>
          <w:trHeight w:hRule="exact" w:val="284"/>
        </w:trPr>
        <w:tc>
          <w:tcPr>
            <w:tcW w:w="4323" w:type="dxa"/>
            <w:shd w:val="pct5" w:color="auto" w:fill="auto"/>
            <w:vAlign w:val="center"/>
          </w:tcPr>
          <w:p w:rsidR="00551B50" w:rsidRDefault="00551B50">
            <w:pPr>
              <w:pStyle w:val="Titre6"/>
            </w:pPr>
            <w:r>
              <w:t>Service ou groupe et sous-groupe émetteur / Nom</w:t>
            </w:r>
          </w:p>
        </w:tc>
      </w:tr>
      <w:tr w:rsidR="00551B50">
        <w:trPr>
          <w:trHeight w:hRule="exact" w:val="284"/>
        </w:trPr>
        <w:tc>
          <w:tcPr>
            <w:tcW w:w="4323" w:type="dxa"/>
            <w:vAlign w:val="center"/>
          </w:tcPr>
          <w:p w:rsidR="00A34726" w:rsidRDefault="00A34726" w:rsidP="00A347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Electronique</w:t>
            </w:r>
          </w:p>
          <w:p w:rsidR="00551B50" w:rsidRDefault="00551B50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551B50" w:rsidRDefault="00551B50">
      <w:pPr>
        <w:ind w:left="-540"/>
      </w:pPr>
    </w:p>
    <w:p w:rsidR="00551B50" w:rsidRDefault="00551B50">
      <w:pPr>
        <w:ind w:left="-540"/>
      </w:pPr>
      <w:r>
        <w:tab/>
      </w:r>
      <w:r>
        <w:tab/>
      </w:r>
    </w:p>
    <w:p w:rsidR="00551B50" w:rsidRDefault="00551B50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B50" w:rsidRDefault="00551B50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B50" w:rsidRDefault="00551B50">
      <w:pPr>
        <w:ind w:left="-142"/>
        <w:rPr>
          <w:rFonts w:ascii="Arial" w:hAnsi="Arial"/>
          <w:sz w:val="28"/>
        </w:rPr>
      </w:pPr>
      <w:r>
        <w:rPr>
          <w:rFonts w:ascii="Arial" w:hAnsi="Arial"/>
          <w:b/>
          <w:bCs/>
          <w:color w:val="808080"/>
          <w:sz w:val="48"/>
        </w:rPr>
        <w:sym w:font="Wingdings" w:char="F03F"/>
      </w:r>
      <w:r>
        <w:rPr>
          <w:rFonts w:ascii="Arial" w:hAnsi="Arial"/>
          <w:color w:val="808080"/>
          <w:sz w:val="44"/>
        </w:rPr>
        <w:t xml:space="preserve"> </w:t>
      </w:r>
      <w:r>
        <w:rPr>
          <w:rFonts w:ascii="Arial" w:hAnsi="Arial"/>
          <w:sz w:val="32"/>
        </w:rPr>
        <w:t>Compte-rendu de Réunion</w:t>
      </w:r>
    </w:p>
    <w:p w:rsidR="00551B50" w:rsidRDefault="00551B50">
      <w:pPr>
        <w:ind w:left="-142"/>
        <w:rPr>
          <w:rFonts w:ascii="Arial" w:hAnsi="Arial"/>
          <w:sz w:val="28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9"/>
        <w:gridCol w:w="2552"/>
        <w:gridCol w:w="1644"/>
        <w:gridCol w:w="1055"/>
        <w:gridCol w:w="1449"/>
        <w:gridCol w:w="1380"/>
      </w:tblGrid>
      <w:tr w:rsidR="00551B50">
        <w:trPr>
          <w:trHeight w:val="273"/>
        </w:trPr>
        <w:tc>
          <w:tcPr>
            <w:tcW w:w="6880" w:type="dxa"/>
            <w:gridSpan w:val="4"/>
            <w:tcBorders>
              <w:top w:val="single" w:sz="24" w:space="0" w:color="808080"/>
              <w:left w:val="single" w:sz="24" w:space="0" w:color="808080"/>
              <w:bottom w:val="nil"/>
              <w:right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  <w:rPr>
                <w:lang w:val="de-DE"/>
              </w:rPr>
            </w:pPr>
            <w:r>
              <w:rPr>
                <w:lang w:val="de-DE"/>
              </w:rPr>
              <w:t>o b j e t</w:t>
            </w:r>
          </w:p>
        </w:tc>
        <w:tc>
          <w:tcPr>
            <w:tcW w:w="2829" w:type="dxa"/>
            <w:gridSpan w:val="2"/>
            <w:tcBorders>
              <w:top w:val="single" w:sz="24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Date réunion</w:t>
            </w:r>
          </w:p>
        </w:tc>
      </w:tr>
      <w:tr w:rsidR="00551B50">
        <w:trPr>
          <w:trHeight w:val="645"/>
        </w:trPr>
        <w:tc>
          <w:tcPr>
            <w:tcW w:w="6880" w:type="dxa"/>
            <w:gridSpan w:val="4"/>
            <w:tcBorders>
              <w:top w:val="nil"/>
              <w:left w:val="single" w:sz="24" w:space="0" w:color="808080"/>
              <w:bottom w:val="nil"/>
              <w:right w:val="nil"/>
            </w:tcBorders>
            <w:vAlign w:val="center"/>
          </w:tcPr>
          <w:p w:rsidR="00551B50" w:rsidRDefault="0078672E">
            <w:pPr>
              <w:ind w:left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Compte Rendu Réunion</w:t>
            </w:r>
            <w:r w:rsidR="002F0C0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 Service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808080"/>
              <w:bottom w:val="nil"/>
            </w:tcBorders>
            <w:vAlign w:val="center"/>
          </w:tcPr>
          <w:p w:rsidR="00551B50" w:rsidRDefault="00EF5A01" w:rsidP="00D83AF3">
            <w:pPr>
              <w:pStyle w:val="cellul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02</w:t>
            </w:r>
            <w:r w:rsidR="008E1126">
              <w:rPr>
                <w:rFonts w:ascii="Arial" w:hAnsi="Arial"/>
                <w:sz w:val="22"/>
              </w:rPr>
              <w:t xml:space="preserve"> </w:t>
            </w:r>
            <w:r w:rsidR="00D83AF3">
              <w:rPr>
                <w:rFonts w:ascii="Arial" w:hAnsi="Arial"/>
                <w:sz w:val="22"/>
              </w:rPr>
              <w:t xml:space="preserve">Mars </w:t>
            </w:r>
            <w:r w:rsidR="008E1126">
              <w:rPr>
                <w:rFonts w:ascii="Arial" w:hAnsi="Arial"/>
                <w:sz w:val="22"/>
              </w:rPr>
              <w:t>20</w:t>
            </w:r>
            <w:r w:rsidR="00D83AF3">
              <w:rPr>
                <w:rFonts w:ascii="Arial" w:hAnsi="Arial"/>
                <w:sz w:val="22"/>
              </w:rPr>
              <w:t>10</w:t>
            </w:r>
            <w:r w:rsidR="008E1126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551B50">
        <w:trPr>
          <w:trHeight w:val="170"/>
        </w:trPr>
        <w:tc>
          <w:tcPr>
            <w:tcW w:w="6880" w:type="dxa"/>
            <w:gridSpan w:val="4"/>
            <w:tcBorders>
              <w:top w:val="nil"/>
              <w:left w:val="single" w:sz="24" w:space="0" w:color="808080"/>
              <w:bottom w:val="nil"/>
              <w:right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rédacteur(s)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relu par</w:t>
            </w:r>
          </w:p>
        </w:tc>
      </w:tr>
      <w:tr w:rsidR="00551B50" w:rsidRPr="00B932CF">
        <w:tc>
          <w:tcPr>
            <w:tcW w:w="6880" w:type="dxa"/>
            <w:gridSpan w:val="4"/>
            <w:tcBorders>
              <w:top w:val="nil"/>
              <w:left w:val="single" w:sz="24" w:space="0" w:color="808080"/>
              <w:bottom w:val="nil"/>
              <w:right w:val="nil"/>
            </w:tcBorders>
          </w:tcPr>
          <w:p w:rsidR="00551B50" w:rsidRPr="00B932CF" w:rsidRDefault="00D83AF3" w:rsidP="00CE2AB2">
            <w:pPr>
              <w:pStyle w:val="cellul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Guy Perrot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808080"/>
              <w:bottom w:val="nil"/>
            </w:tcBorders>
          </w:tcPr>
          <w:p w:rsidR="00551B50" w:rsidRPr="00B932CF" w:rsidRDefault="00D83AF3">
            <w:pPr>
              <w:pStyle w:val="cellul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Julie Prast</w:t>
            </w:r>
          </w:p>
        </w:tc>
      </w:tr>
      <w:tr w:rsidR="00551B50">
        <w:tc>
          <w:tcPr>
            <w:tcW w:w="1629" w:type="dxa"/>
            <w:tcBorders>
              <w:top w:val="single" w:sz="6" w:space="0" w:color="808080"/>
              <w:left w:val="single" w:sz="24" w:space="0" w:color="808080"/>
              <w:bottom w:val="single" w:sz="24" w:space="0" w:color="808080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visa validation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24" w:space="0" w:color="808080"/>
            </w:tcBorders>
            <w:vAlign w:val="center"/>
          </w:tcPr>
          <w:p w:rsidR="00551B50" w:rsidRDefault="00551B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44" w:type="dxa"/>
            <w:tcBorders>
              <w:top w:val="single" w:sz="6" w:space="0" w:color="808080"/>
              <w:bottom w:val="single" w:sz="24" w:space="0" w:color="808080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révision</w:t>
            </w:r>
          </w:p>
        </w:tc>
        <w:tc>
          <w:tcPr>
            <w:tcW w:w="1055" w:type="dxa"/>
            <w:tcBorders>
              <w:top w:val="single" w:sz="6" w:space="0" w:color="808080"/>
              <w:bottom w:val="single" w:sz="24" w:space="0" w:color="808080"/>
              <w:right w:val="nil"/>
            </w:tcBorders>
            <w:vAlign w:val="center"/>
          </w:tcPr>
          <w:p w:rsidR="00551B50" w:rsidRDefault="00551B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9" w:type="dxa"/>
            <w:tcBorders>
              <w:top w:val="single" w:sz="6" w:space="0" w:color="808080"/>
              <w:left w:val="single" w:sz="6" w:space="0" w:color="808080"/>
              <w:bottom w:val="single" w:sz="24" w:space="0" w:color="808080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confidentialité</w:t>
            </w:r>
          </w:p>
        </w:tc>
        <w:tc>
          <w:tcPr>
            <w:tcW w:w="1380" w:type="dxa"/>
            <w:tcBorders>
              <w:top w:val="single" w:sz="6" w:space="0" w:color="808080"/>
              <w:bottom w:val="single" w:sz="24" w:space="0" w:color="808080"/>
            </w:tcBorders>
          </w:tcPr>
          <w:p w:rsidR="00551B50" w:rsidRDefault="00551B50">
            <w:pPr>
              <w:jc w:val="center"/>
              <w:rPr>
                <w:rFonts w:ascii="Arial" w:hAnsi="Arial"/>
              </w:rPr>
            </w:pPr>
          </w:p>
        </w:tc>
      </w:tr>
    </w:tbl>
    <w:p w:rsidR="00551B50" w:rsidRDefault="00551B50">
      <w:pPr>
        <w:ind w:left="-142"/>
        <w:rPr>
          <w:rFonts w:ascii="Arial" w:hAnsi="Arial"/>
        </w:rPr>
      </w:pPr>
    </w:p>
    <w:p w:rsidR="00551B50" w:rsidRDefault="00551B50">
      <w:pPr>
        <w:ind w:left="-142"/>
        <w:rPr>
          <w:rFonts w:ascii="Arial" w:hAnsi="Arial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8078"/>
      </w:tblGrid>
      <w:tr w:rsidR="00551B50">
        <w:trPr>
          <w:trHeight w:val="170"/>
        </w:trPr>
        <w:tc>
          <w:tcPr>
            <w:tcW w:w="1631" w:type="dxa"/>
            <w:tcBorders>
              <w:bottom w:val="nil"/>
              <w:right w:val="nil"/>
            </w:tcBorders>
          </w:tcPr>
          <w:p w:rsidR="00551B50" w:rsidRDefault="00551B50">
            <w:pPr>
              <w:pStyle w:val="entetetablo"/>
            </w:pP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participants</w:t>
            </w:r>
          </w:p>
        </w:tc>
      </w:tr>
      <w:tr w:rsidR="00551B50" w:rsidRPr="00935699">
        <w:tc>
          <w:tcPr>
            <w:tcW w:w="1631" w:type="dxa"/>
            <w:tcBorders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</w:pPr>
            <w:r>
              <w:t>LAPP</w:t>
            </w:r>
            <w:r w:rsidR="00390C9C">
              <w:t xml:space="preserve"> service é</w:t>
            </w:r>
            <w:r w:rsidR="00A34726">
              <w:t>lec</w:t>
            </w:r>
            <w:r w:rsidR="00390C9C">
              <w:t>tronique</w:t>
            </w:r>
          </w:p>
        </w:tc>
        <w:tc>
          <w:tcPr>
            <w:tcW w:w="8078" w:type="dxa"/>
            <w:tcBorders>
              <w:top w:val="nil"/>
              <w:left w:val="single" w:sz="6" w:space="0" w:color="808080"/>
              <w:bottom w:val="nil"/>
            </w:tcBorders>
          </w:tcPr>
          <w:p w:rsidR="00551B50" w:rsidRPr="00FE438F" w:rsidRDefault="008E1126" w:rsidP="00FE438F">
            <w:pPr>
              <w:widowControl w:val="0"/>
              <w:autoSpaceDE w:val="0"/>
              <w:autoSpaceDN w:val="0"/>
              <w:adjustRightInd w:val="0"/>
            </w:pPr>
            <w:r w:rsidRPr="00FE438F">
              <w:t>Cyril,</w:t>
            </w:r>
            <w:r w:rsidR="00EF5A01" w:rsidRPr="00FE438F">
              <w:t xml:space="preserve"> </w:t>
            </w:r>
            <w:r w:rsidRPr="00FE438F">
              <w:t>Guillaume</w:t>
            </w:r>
            <w:r w:rsidR="00EF5A01" w:rsidRPr="00FE438F">
              <w:t xml:space="preserve">, Jean, </w:t>
            </w:r>
            <w:r w:rsidRPr="00FE438F">
              <w:t>Jean</w:t>
            </w:r>
            <w:r w:rsidR="00EF5A01" w:rsidRPr="00FE438F">
              <w:t>-</w:t>
            </w:r>
            <w:r w:rsidRPr="00FE438F">
              <w:t>Marc</w:t>
            </w:r>
            <w:r w:rsidR="00EF5A01" w:rsidRPr="00FE438F">
              <w:t>,</w:t>
            </w:r>
            <w:r w:rsidRPr="00FE438F">
              <w:t xml:space="preserve"> Nadia, Richard,</w:t>
            </w:r>
            <w:r w:rsidR="00EF5A01" w:rsidRPr="00FE438F">
              <w:t xml:space="preserve"> </w:t>
            </w:r>
            <w:r w:rsidR="00FE438F">
              <w:t>Sé</w:t>
            </w:r>
            <w:r w:rsidRPr="00FE438F">
              <w:t>b</w:t>
            </w:r>
            <w:r w:rsidR="00FE438F">
              <w:t>astien</w:t>
            </w:r>
            <w:r w:rsidR="00160510" w:rsidRPr="00FE438F">
              <w:t xml:space="preserve"> </w:t>
            </w:r>
            <w:r w:rsidR="00EF5A01" w:rsidRPr="00FE438F">
              <w:t>C</w:t>
            </w:r>
            <w:r w:rsidR="00D83AF3" w:rsidRPr="00FE438F">
              <w:t>, Sébastien V</w:t>
            </w:r>
            <w:r w:rsidRPr="00FE438F">
              <w:t>, Nico L</w:t>
            </w:r>
            <w:r w:rsidR="00EF5A01" w:rsidRPr="00FE438F">
              <w:t>, Renaud, Pierre Yves, Nicolas</w:t>
            </w:r>
            <w:r w:rsidR="00160510" w:rsidRPr="00FE438F">
              <w:t xml:space="preserve"> </w:t>
            </w:r>
            <w:r w:rsidR="00EF5A01" w:rsidRPr="00FE438F">
              <w:t>M</w:t>
            </w:r>
            <w:r w:rsidR="00FE438F" w:rsidRPr="00FE438F">
              <w:t xml:space="preserve">, Julie, Nicolas </w:t>
            </w:r>
            <w:r w:rsidR="00FE438F">
              <w:t>DD, François, Arnaud, Guy</w:t>
            </w:r>
          </w:p>
        </w:tc>
      </w:tr>
      <w:tr w:rsidR="00551B50"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  <w:rPr>
                <w:sz w:val="22"/>
              </w:rPr>
            </w:pPr>
            <w:r>
              <w:t>extérieurs</w:t>
            </w: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</w:tcPr>
          <w:p w:rsidR="00551B50" w:rsidRDefault="00551B50">
            <w:pPr>
              <w:pStyle w:val="cellule"/>
              <w:rPr>
                <w:rFonts w:ascii="Arial" w:hAnsi="Arial"/>
                <w:sz w:val="22"/>
              </w:rPr>
            </w:pPr>
          </w:p>
        </w:tc>
      </w:tr>
      <w:tr w:rsidR="00551B50">
        <w:trPr>
          <w:trHeight w:val="170"/>
        </w:trPr>
        <w:tc>
          <w:tcPr>
            <w:tcW w:w="1631" w:type="dxa"/>
            <w:tcBorders>
              <w:top w:val="single" w:sz="6" w:space="0" w:color="808080"/>
              <w:bottom w:val="nil"/>
              <w:right w:val="nil"/>
            </w:tcBorders>
          </w:tcPr>
          <w:p w:rsidR="00551B50" w:rsidRDefault="00551B50">
            <w:pPr>
              <w:pStyle w:val="entetetablo"/>
            </w:pP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A34726">
            <w:pPr>
              <w:pStyle w:val="entetetablo"/>
            </w:pPr>
            <w:r>
              <w:t>absents</w:t>
            </w:r>
          </w:p>
        </w:tc>
      </w:tr>
      <w:tr w:rsidR="00551B50">
        <w:tc>
          <w:tcPr>
            <w:tcW w:w="1631" w:type="dxa"/>
            <w:tcBorders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</w:pPr>
            <w:r>
              <w:t>LAPP</w:t>
            </w:r>
          </w:p>
        </w:tc>
        <w:tc>
          <w:tcPr>
            <w:tcW w:w="8078" w:type="dxa"/>
            <w:tcBorders>
              <w:top w:val="nil"/>
              <w:left w:val="single" w:sz="6" w:space="0" w:color="808080"/>
              <w:bottom w:val="nil"/>
            </w:tcBorders>
          </w:tcPr>
          <w:p w:rsidR="00551B50" w:rsidRDefault="00D83AF3" w:rsidP="00FE438F">
            <w:pPr>
              <w:pStyle w:val="cellule"/>
              <w:spacing w:before="100"/>
              <w:rPr>
                <w:rFonts w:ascii="Arial" w:hAnsi="Arial"/>
                <w:sz w:val="20"/>
              </w:rPr>
            </w:pPr>
            <w:r>
              <w:t>Alexandre</w:t>
            </w:r>
          </w:p>
        </w:tc>
      </w:tr>
      <w:tr w:rsidR="00551B50"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  <w:rPr>
                <w:sz w:val="22"/>
              </w:rPr>
            </w:pPr>
            <w:r>
              <w:t>extérieurs</w:t>
            </w: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</w:tcPr>
          <w:p w:rsidR="00551B50" w:rsidRDefault="00551B50">
            <w:pPr>
              <w:pStyle w:val="cellule"/>
              <w:rPr>
                <w:rFonts w:ascii="Arial" w:hAnsi="Arial"/>
                <w:sz w:val="22"/>
              </w:rPr>
            </w:pPr>
          </w:p>
        </w:tc>
      </w:tr>
      <w:tr w:rsidR="00551B50">
        <w:trPr>
          <w:trHeight w:val="170"/>
        </w:trPr>
        <w:tc>
          <w:tcPr>
            <w:tcW w:w="1631" w:type="dxa"/>
            <w:tcBorders>
              <w:top w:val="single" w:sz="6" w:space="0" w:color="808080"/>
              <w:bottom w:val="nil"/>
              <w:right w:val="nil"/>
            </w:tcBorders>
          </w:tcPr>
          <w:p w:rsidR="00551B50" w:rsidRDefault="00551B50">
            <w:pPr>
              <w:pStyle w:val="entetetablo"/>
              <w:tabs>
                <w:tab w:val="right" w:pos="2268"/>
              </w:tabs>
            </w:pP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diffusion pour information</w:t>
            </w:r>
          </w:p>
        </w:tc>
      </w:tr>
      <w:tr w:rsidR="00551B50">
        <w:tc>
          <w:tcPr>
            <w:tcW w:w="1631" w:type="dxa"/>
            <w:tcBorders>
              <w:top w:val="nil"/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</w:pPr>
            <w:r>
              <w:t>LAPP</w:t>
            </w:r>
          </w:p>
        </w:tc>
        <w:tc>
          <w:tcPr>
            <w:tcW w:w="8078" w:type="dxa"/>
            <w:tcBorders>
              <w:top w:val="nil"/>
              <w:left w:val="single" w:sz="6" w:space="0" w:color="808080"/>
              <w:bottom w:val="nil"/>
            </w:tcBorders>
          </w:tcPr>
          <w:p w:rsidR="00551B50" w:rsidRDefault="00551B50">
            <w:pPr>
              <w:pStyle w:val="cellule"/>
              <w:spacing w:before="100"/>
              <w:rPr>
                <w:rFonts w:ascii="Arial" w:hAnsi="Arial"/>
                <w:sz w:val="20"/>
              </w:rPr>
            </w:pPr>
          </w:p>
        </w:tc>
      </w:tr>
      <w:tr w:rsidR="00551B50">
        <w:tc>
          <w:tcPr>
            <w:tcW w:w="1631" w:type="dxa"/>
            <w:tcBorders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  <w:rPr>
                <w:sz w:val="22"/>
              </w:rPr>
            </w:pPr>
            <w:r>
              <w:t>extérieurs</w:t>
            </w: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51B50" w:rsidRDefault="00551B50">
            <w:pPr>
              <w:pStyle w:val="cellule"/>
              <w:rPr>
                <w:rFonts w:ascii="Arial" w:hAnsi="Arial"/>
                <w:sz w:val="22"/>
              </w:rPr>
            </w:pPr>
          </w:p>
        </w:tc>
      </w:tr>
    </w:tbl>
    <w:p w:rsidR="00551B50" w:rsidRDefault="00551B50">
      <w:pPr>
        <w:rPr>
          <w:b/>
          <w:sz w:val="16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8078"/>
      </w:tblGrid>
      <w:tr w:rsidR="00551B50">
        <w:trPr>
          <w:trHeight w:val="507"/>
        </w:trPr>
        <w:tc>
          <w:tcPr>
            <w:tcW w:w="163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  <w:rPr>
                <w:sz w:val="22"/>
              </w:rPr>
            </w:pPr>
            <w:r>
              <w:t>description des pièces jointes</w:t>
            </w:r>
          </w:p>
        </w:tc>
        <w:tc>
          <w:tcPr>
            <w:tcW w:w="8078" w:type="dxa"/>
            <w:tcBorders>
              <w:left w:val="nil"/>
            </w:tcBorders>
          </w:tcPr>
          <w:p w:rsidR="00551B50" w:rsidRDefault="00551B50">
            <w:pPr>
              <w:pStyle w:val="cellule"/>
            </w:pPr>
          </w:p>
        </w:tc>
      </w:tr>
    </w:tbl>
    <w:p w:rsidR="00551B50" w:rsidRDefault="00551B50"/>
    <w:p w:rsidR="00551B50" w:rsidRDefault="00551B50"/>
    <w:tbl>
      <w:tblPr>
        <w:tblW w:w="967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831"/>
        <w:gridCol w:w="2160"/>
        <w:gridCol w:w="1680"/>
      </w:tblGrid>
      <w:tr w:rsidR="00551B50">
        <w:trPr>
          <w:trHeight w:val="284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C0C0C0"/>
            <w:vAlign w:val="center"/>
          </w:tcPr>
          <w:p w:rsidR="00551B50" w:rsidRDefault="00551B50">
            <w:pPr>
              <w:pStyle w:val="entetetablo"/>
              <w:rPr>
                <w:b/>
                <w:bCs/>
              </w:rPr>
            </w:pPr>
            <w:r>
              <w:rPr>
                <w:b/>
                <w:bCs/>
              </w:rPr>
              <w:t>Résumé actions à réaliser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  <w:rPr>
                <w:b/>
                <w:bCs/>
              </w:rPr>
            </w:pPr>
            <w:r>
              <w:rPr>
                <w:b/>
                <w:bCs/>
              </w:rPr>
              <w:t>Qui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  <w:rPr>
                <w:b/>
                <w:bCs/>
              </w:rPr>
            </w:pPr>
            <w:r>
              <w:rPr>
                <w:b/>
                <w:bCs/>
              </w:rPr>
              <w:t>Délai</w:t>
            </w: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</w:tbl>
    <w:p w:rsidR="00551B50" w:rsidRDefault="00551B50">
      <w:pPr>
        <w:sectPr w:rsidR="00551B50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1B50" w:rsidRDefault="00671C76" w:rsidP="00B3501C">
      <w:pPr>
        <w:pStyle w:val="Titre1"/>
      </w:pPr>
      <w:r>
        <w:lastRenderedPageBreak/>
        <w:t>O</w:t>
      </w:r>
      <w:r w:rsidR="00551B50" w:rsidRPr="00B3501C">
        <w:t>rdre du jour</w:t>
      </w:r>
      <w:r w:rsidR="007F624C">
        <w:t> :</w:t>
      </w:r>
    </w:p>
    <w:p w:rsidR="00A83F48" w:rsidRPr="00A83F48" w:rsidRDefault="00A83F48" w:rsidP="00A83F48"/>
    <w:p w:rsidR="00D16103" w:rsidRDefault="007F624C" w:rsidP="00D16103">
      <w:r w:rsidRPr="007F624C">
        <w:rPr>
          <w:rFonts w:ascii="Helvetica" w:hAnsi="Helvetica" w:cs="Arial"/>
          <w:bCs/>
          <w:kern w:val="32"/>
          <w:sz w:val="32"/>
          <w:szCs w:val="32"/>
          <w:u w:val="single"/>
        </w:rPr>
        <w:t>http://indico.in2p3.fr/conferenceDisplay.py?confId=2839</w:t>
      </w:r>
    </w:p>
    <w:p w:rsidR="00D16103" w:rsidRDefault="00D16103" w:rsidP="00D16103"/>
    <w:p w:rsidR="008E1126" w:rsidRDefault="007F624C" w:rsidP="007F624C">
      <w:pPr>
        <w:pStyle w:val="Titre1"/>
      </w:pPr>
      <w:r>
        <w:t>Divers :</w:t>
      </w:r>
    </w:p>
    <w:p w:rsidR="00A83F48" w:rsidRPr="002D43E0" w:rsidRDefault="007F624C" w:rsidP="007F624C">
      <w:pPr>
        <w:pStyle w:val="Paragraphedeliste"/>
        <w:numPr>
          <w:ilvl w:val="0"/>
          <w:numId w:val="13"/>
        </w:numPr>
      </w:pPr>
      <w:r>
        <w:t>Embauche d’un AI finalement via NOEMI. Arrivée le 1</w:t>
      </w:r>
      <w:r w:rsidRPr="007F624C">
        <w:rPr>
          <w:vertAlign w:val="superscript"/>
        </w:rPr>
        <w:t>er</w:t>
      </w:r>
      <w:r>
        <w:t xml:space="preserve"> Mai, orientation plutôt analogique</w:t>
      </w:r>
      <w:r w:rsidRPr="002D43E0">
        <w:t>.</w:t>
      </w:r>
      <w:r w:rsidR="00BE7A47" w:rsidRPr="002D43E0">
        <w:t xml:space="preserve"> </w:t>
      </w:r>
      <w:r w:rsidR="002D43E0">
        <w:t>Il travaillera au</w:t>
      </w:r>
      <w:r w:rsidR="00BE7A47" w:rsidRPr="002D43E0">
        <w:t xml:space="preserve"> départ pour VIRGO.</w:t>
      </w:r>
    </w:p>
    <w:p w:rsidR="007F624C" w:rsidRDefault="007F624C" w:rsidP="007F624C">
      <w:pPr>
        <w:pStyle w:val="Paragraphedeliste"/>
        <w:numPr>
          <w:ilvl w:val="0"/>
          <w:numId w:val="13"/>
        </w:numPr>
      </w:pPr>
      <w:r>
        <w:t>2 stagiaires IUT encadrés par S. Cap et Pierre Yves/Nicolas</w:t>
      </w:r>
    </w:p>
    <w:p w:rsidR="007F624C" w:rsidRDefault="007F624C" w:rsidP="00352B20">
      <w:pPr>
        <w:pStyle w:val="Paragraphedeliste"/>
        <w:ind w:left="720"/>
      </w:pPr>
      <w:r>
        <w:t>1 stagiaire Polytec</w:t>
      </w:r>
      <w:r w:rsidR="00352B20">
        <w:t>h</w:t>
      </w:r>
      <w:r>
        <w:t xml:space="preserve"> </w:t>
      </w:r>
      <w:r w:rsidR="00352B20">
        <w:t>encadrée par Renaud.</w:t>
      </w:r>
    </w:p>
    <w:p w:rsidR="00352B20" w:rsidRDefault="00352B20" w:rsidP="00352B20">
      <w:pPr>
        <w:pStyle w:val="Paragraphedeliste"/>
        <w:numPr>
          <w:ilvl w:val="0"/>
          <w:numId w:val="13"/>
        </w:numPr>
      </w:pPr>
      <w:r>
        <w:t>Nouveau matériel pour le dessoudage des composants PQFP jusqu’à 33mm de côté.</w:t>
      </w:r>
    </w:p>
    <w:p w:rsidR="00352B20" w:rsidRDefault="00352B20" w:rsidP="00352B20">
      <w:pPr>
        <w:pStyle w:val="Paragraphedeliste"/>
        <w:numPr>
          <w:ilvl w:val="0"/>
          <w:numId w:val="13"/>
        </w:numPr>
      </w:pPr>
      <w:r>
        <w:t>Nouvelle version Cadence 16.3 installée. Beaucoup de changements, et Allegro 3D.</w:t>
      </w:r>
    </w:p>
    <w:p w:rsidR="00352B20" w:rsidRPr="00A83F48" w:rsidRDefault="00352B20" w:rsidP="00352B20">
      <w:pPr>
        <w:pStyle w:val="Paragraphedeliste"/>
        <w:numPr>
          <w:ilvl w:val="0"/>
          <w:numId w:val="13"/>
        </w:numPr>
      </w:pPr>
      <w:r>
        <w:t xml:space="preserve">Cyril prend en charge une présentation de 15 minutes sur le service électronique </w:t>
      </w:r>
      <w:r w:rsidR="003504AE">
        <w:t>pour</w:t>
      </w:r>
      <w:r>
        <w:t xml:space="preserve"> une classe de 3</w:t>
      </w:r>
      <w:r w:rsidRPr="00352B20">
        <w:rPr>
          <w:vertAlign w:val="superscript"/>
        </w:rPr>
        <w:t>ème</w:t>
      </w:r>
      <w:r>
        <w:t xml:space="preserve"> en visite au LAPP.</w:t>
      </w:r>
    </w:p>
    <w:p w:rsidR="008E1126" w:rsidRDefault="007F624C" w:rsidP="0046535E">
      <w:pPr>
        <w:pStyle w:val="Titre1"/>
        <w:jc w:val="both"/>
      </w:pPr>
      <w:r>
        <w:t>Nouveau site WEB du Laboratoire :</w:t>
      </w:r>
    </w:p>
    <w:p w:rsidR="00A83F48" w:rsidRDefault="00352B20" w:rsidP="00A83F48">
      <w:r>
        <w:t xml:space="preserve"> Le nouveau site WEB du LAPP devrait être mis en service </w:t>
      </w:r>
      <w:r w:rsidR="00BE7A47" w:rsidRPr="002D43E0">
        <w:t>pour le personnel du laboratoire</w:t>
      </w:r>
      <w:r w:rsidR="00BE7A47">
        <w:t xml:space="preserve"> </w:t>
      </w:r>
      <w:r>
        <w:t>autour du 15 Mars. Il respecte la charte graphique du CNRS.</w:t>
      </w:r>
    </w:p>
    <w:p w:rsidR="00352B20" w:rsidRDefault="00352B20" w:rsidP="00A83F48">
      <w:r>
        <w:t>Il y a une partie grand public et une partie réservée aux utilisateurs soit sur place ou par mot de passe</w:t>
      </w:r>
      <w:r w:rsidR="00E712FC">
        <w:t xml:space="preserve"> depuis l’extérieur</w:t>
      </w:r>
      <w:r>
        <w:t>.</w:t>
      </w:r>
    </w:p>
    <w:p w:rsidR="00352B20" w:rsidRDefault="00352B20" w:rsidP="00A83F48">
      <w:r>
        <w:t xml:space="preserve">Les suggestions pour remplir la page du </w:t>
      </w:r>
      <w:r w:rsidR="00722069">
        <w:t>servi</w:t>
      </w:r>
      <w:r>
        <w:t xml:space="preserve">ce </w:t>
      </w:r>
      <w:r w:rsidR="00722069">
        <w:t>sont les bienvenues.</w:t>
      </w:r>
    </w:p>
    <w:p w:rsidR="00722069" w:rsidRPr="00A83F48" w:rsidRDefault="00722069" w:rsidP="00A83F48">
      <w:r>
        <w:t xml:space="preserve">On a évoqué liste de fournisseurs, liste de câbleurs, </w:t>
      </w:r>
      <w:r w:rsidR="00E712FC">
        <w:t>n</w:t>
      </w:r>
      <w:r>
        <w:t>otes de François sur l’utilisation de la CAO.</w:t>
      </w:r>
    </w:p>
    <w:p w:rsidR="008E1126" w:rsidRDefault="007F624C" w:rsidP="0046535E">
      <w:pPr>
        <w:pStyle w:val="Titre1"/>
        <w:jc w:val="both"/>
      </w:pPr>
      <w:r>
        <w:t>Ménage dans les comptes utilisateurs :</w:t>
      </w:r>
    </w:p>
    <w:p w:rsidR="00C27E61" w:rsidRDefault="00546BF1" w:rsidP="00C27E61">
      <w:r>
        <w:t>On a fait le tour des comptes utilisateurs des gens qui ne sont plus au LAPP. La plupart seront supprimés. Pour d’autres on souhaite conserver les données qui s’y trouvent.</w:t>
      </w:r>
    </w:p>
    <w:p w:rsidR="00604129" w:rsidRDefault="007F624C" w:rsidP="007F624C">
      <w:pPr>
        <w:pStyle w:val="Titre1"/>
      </w:pPr>
      <w:r>
        <w:t>Bureaux :</w:t>
      </w:r>
    </w:p>
    <w:p w:rsidR="00546BF1" w:rsidRPr="00546BF1" w:rsidRDefault="00546BF1" w:rsidP="00546BF1">
      <w:r>
        <w:t>Nécessité pour le service de trouver de la place : 1 nouveau permanent, 3 stagiaires. Des pistes sont évoquées, mais comme d’habitude le sujet est sensible.</w:t>
      </w:r>
    </w:p>
    <w:p w:rsidR="001B373B" w:rsidRDefault="001B373B" w:rsidP="001B373B">
      <w:pPr>
        <w:pStyle w:val="Titre1"/>
        <w:jc w:val="both"/>
      </w:pPr>
      <w:r>
        <w:t>Tour de table des projets :</w:t>
      </w:r>
    </w:p>
    <w:p w:rsidR="001B373B" w:rsidRDefault="009B105F" w:rsidP="001B373B">
      <w:r>
        <w:t>Nicolas L :</w:t>
      </w:r>
    </w:p>
    <w:p w:rsidR="009B105F" w:rsidRDefault="009B105F" w:rsidP="001B373B">
      <w:r>
        <w:t xml:space="preserve">L’étape actuelle de Virgo est terminée pour lui. </w:t>
      </w:r>
      <w:r w:rsidR="00BE7A47" w:rsidRPr="002D43E0">
        <w:t>La prochaine est de travailler sur la carte DAC.</w:t>
      </w:r>
      <w:r w:rsidR="00BE7A47">
        <w:t xml:space="preserve"> </w:t>
      </w:r>
      <w:r>
        <w:t>Sur ATLAS sLHC conception d’une carte contrôleur ATCA et évaluation d’un microcontrôleur pour cette carte.</w:t>
      </w:r>
    </w:p>
    <w:p w:rsidR="00914A21" w:rsidRDefault="00914A21" w:rsidP="001B373B"/>
    <w:p w:rsidR="00914A21" w:rsidRDefault="00914A21" w:rsidP="001B373B">
      <w:r>
        <w:t>Pierre Yves :</w:t>
      </w:r>
    </w:p>
    <w:p w:rsidR="00914A21" w:rsidRDefault="00914A21" w:rsidP="001B373B">
      <w:r>
        <w:t>Interlock ATLAS LHC terminé, documentation à finaliser. Pour les pots romains, la situation est en suspens à cause du nouveau planning LHC (2011?), mais ils sont prêts si l’occasion se présente de pouvoir les installer.</w:t>
      </w:r>
    </w:p>
    <w:p w:rsidR="00246CCC" w:rsidRDefault="00246CCC" w:rsidP="001B373B">
      <w:r>
        <w:t>Upgrade ATLAS Inner detector, devis pour un harnais (services)</w:t>
      </w:r>
    </w:p>
    <w:p w:rsidR="00246CCC" w:rsidRDefault="00246CCC" w:rsidP="001B373B">
      <w:r>
        <w:t>HESS installation début Mai.</w:t>
      </w:r>
    </w:p>
    <w:p w:rsidR="00246CCC" w:rsidRDefault="00246CCC" w:rsidP="001B373B"/>
    <w:p w:rsidR="00246CCC" w:rsidRDefault="00246CCC" w:rsidP="001B373B">
      <w:r>
        <w:t>Nicolas D :</w:t>
      </w:r>
    </w:p>
    <w:p w:rsidR="004203B4" w:rsidRDefault="004203B4" w:rsidP="001B373B">
      <w:r w:rsidRPr="004203B4">
        <w:lastRenderedPageBreak/>
        <w:t>ATLAS sLHC ROD</w:t>
      </w:r>
      <w:r>
        <w:t> :</w:t>
      </w:r>
      <w:r w:rsidRPr="004203B4">
        <w:t xml:space="preserve"> carte d’evaluation ROD à base de StratixIV. </w:t>
      </w:r>
      <w:r>
        <w:t>Conception et CAO de la carte au format ATCA.</w:t>
      </w:r>
    </w:p>
    <w:p w:rsidR="004203B4" w:rsidRDefault="004203B4" w:rsidP="001B373B"/>
    <w:p w:rsidR="004203B4" w:rsidRDefault="004203B4" w:rsidP="001B373B">
      <w:r>
        <w:t>Jean Marc :</w:t>
      </w:r>
    </w:p>
    <w:p w:rsidR="004203B4" w:rsidRDefault="004203B4" w:rsidP="001B373B">
      <w:r>
        <w:t>CLIC contact avec le CERN service microélectronique pour utiliser le transceiver radhard GBT au labo.</w:t>
      </w:r>
    </w:p>
    <w:p w:rsidR="004203B4" w:rsidRDefault="004203B4" w:rsidP="001B373B"/>
    <w:p w:rsidR="004203B4" w:rsidRDefault="004203B4" w:rsidP="001B373B">
      <w:r>
        <w:t>Sebastien C :</w:t>
      </w:r>
    </w:p>
    <w:p w:rsidR="004203B4" w:rsidRDefault="004203B4" w:rsidP="001B373B">
      <w:r>
        <w:t>Travail fini sur VIRGO.</w:t>
      </w:r>
    </w:p>
    <w:p w:rsidR="004203B4" w:rsidRDefault="004203B4" w:rsidP="001B373B">
      <w:r>
        <w:t xml:space="preserve">A fabriqué avec Jean une face avant avec la graveuse. Le résultat est </w:t>
      </w:r>
      <w:r w:rsidR="00BE7A47" w:rsidRPr="002D43E0">
        <w:t>très</w:t>
      </w:r>
      <w:r w:rsidR="00BE7A47">
        <w:t xml:space="preserve"> </w:t>
      </w:r>
      <w:r>
        <w:t>correct mais pas de fabrication en quantité.</w:t>
      </w:r>
    </w:p>
    <w:p w:rsidR="00514667" w:rsidRDefault="00514667" w:rsidP="001B373B"/>
    <w:p w:rsidR="00514667" w:rsidRDefault="00514667" w:rsidP="001B373B">
      <w:r>
        <w:t>Jean :</w:t>
      </w:r>
    </w:p>
    <w:p w:rsidR="00514667" w:rsidRDefault="00514667" w:rsidP="001B373B">
      <w:r>
        <w:t>Fabrication d’une enceinte thermostatée pour la caractérisation des Si</w:t>
      </w:r>
      <w:r w:rsidR="003504AE">
        <w:t xml:space="preserve"> </w:t>
      </w:r>
      <w:r>
        <w:t>PMs.</w:t>
      </w:r>
    </w:p>
    <w:p w:rsidR="00514667" w:rsidRDefault="00514667" w:rsidP="001B373B"/>
    <w:p w:rsidR="00514667" w:rsidRDefault="00514667" w:rsidP="001B373B">
      <w:r>
        <w:t>Sébastien V :</w:t>
      </w:r>
    </w:p>
    <w:p w:rsidR="00514667" w:rsidRDefault="00514667" w:rsidP="001B373B">
      <w:r>
        <w:t>Rien à dire sur CTF3</w:t>
      </w:r>
    </w:p>
    <w:p w:rsidR="00514667" w:rsidRDefault="00514667" w:rsidP="001B373B">
      <w:r>
        <w:t>Finir la production pour VIRGO qui est retardée par des pbs d’approvisionnement de composants.</w:t>
      </w:r>
    </w:p>
    <w:p w:rsidR="00514667" w:rsidRDefault="00514667" w:rsidP="001B373B"/>
    <w:p w:rsidR="00514667" w:rsidRDefault="00514667" w:rsidP="001B373B">
      <w:r>
        <w:t>Arnaud :</w:t>
      </w:r>
    </w:p>
    <w:p w:rsidR="00514667" w:rsidRDefault="00514667" w:rsidP="001B373B">
      <w:r>
        <w:t xml:space="preserve">Nouvelle source </w:t>
      </w:r>
      <w:r w:rsidR="00BE7A47">
        <w:t xml:space="preserve">laser </w:t>
      </w:r>
      <w:r>
        <w:t xml:space="preserve">et nouveau modulateur pour </w:t>
      </w:r>
      <w:r w:rsidR="00BE7A47" w:rsidRPr="002D43E0">
        <w:t>les photodiodes de</w:t>
      </w:r>
      <w:r w:rsidR="00BE7A47">
        <w:t xml:space="preserve"> </w:t>
      </w:r>
      <w:r>
        <w:t>VIRGO, aucun problème.</w:t>
      </w:r>
    </w:p>
    <w:p w:rsidR="00514667" w:rsidRDefault="00514667" w:rsidP="001B373B"/>
    <w:p w:rsidR="00514667" w:rsidRDefault="00514667" w:rsidP="001B373B">
      <w:r>
        <w:t>Guillaume :</w:t>
      </w:r>
    </w:p>
    <w:p w:rsidR="00514667" w:rsidRPr="002D43E0" w:rsidRDefault="00BE7A47" w:rsidP="001B373B">
      <w:r w:rsidRPr="002D43E0">
        <w:t>Travail sur la DAQ Calice et le dialogue 8b/10b entre un FPGA Xilinx et un FPGA Altera.</w:t>
      </w:r>
    </w:p>
    <w:p w:rsidR="00905F7C" w:rsidRDefault="00905F7C" w:rsidP="001B373B"/>
    <w:p w:rsidR="00905F7C" w:rsidRDefault="00905F7C" w:rsidP="001B373B">
      <w:r>
        <w:t>Renaud :</w:t>
      </w:r>
    </w:p>
    <w:p w:rsidR="00905F7C" w:rsidRDefault="00905F7C" w:rsidP="001B373B">
      <w:r>
        <w:t>MicroMegas R&amp;D sur détecteur et PCB, préampli de charge shaper pour HARD ROC ou DIRAC.</w:t>
      </w:r>
    </w:p>
    <w:p w:rsidR="00905F7C" w:rsidRDefault="00905F7C" w:rsidP="001B373B">
      <w:r>
        <w:t>ATLAS stagiaire pour étudier un ADC sigma delta générique pour le slow control.</w:t>
      </w:r>
    </w:p>
    <w:p w:rsidR="00905F7C" w:rsidRDefault="00905F7C" w:rsidP="001B373B"/>
    <w:p w:rsidR="00905F7C" w:rsidRDefault="00905F7C" w:rsidP="001B373B">
      <w:r>
        <w:t>Nadia :</w:t>
      </w:r>
    </w:p>
    <w:p w:rsidR="00905F7C" w:rsidRDefault="00905F7C" w:rsidP="001B373B">
      <w:r>
        <w:t>Banc de caractérisation pour Si PM, partie optique LED. Table X-Y</w:t>
      </w:r>
    </w:p>
    <w:p w:rsidR="00905F7C" w:rsidRDefault="00905F7C" w:rsidP="001B373B">
      <w:r>
        <w:t>POLAR modification de la partie trigger qui nécessite de réécrire le code VHDL.</w:t>
      </w:r>
    </w:p>
    <w:p w:rsidR="00905F7C" w:rsidRDefault="00905F7C" w:rsidP="001B373B"/>
    <w:p w:rsidR="00905F7C" w:rsidRDefault="00905F7C" w:rsidP="001B373B">
      <w:r>
        <w:t>Guy :</w:t>
      </w:r>
    </w:p>
    <w:p w:rsidR="00905F7C" w:rsidRDefault="00905F7C" w:rsidP="001B373B">
      <w:r>
        <w:t>Suivi de l’upgrade ROD pour sLHC.</w:t>
      </w:r>
    </w:p>
    <w:p w:rsidR="00905F7C" w:rsidRDefault="00905F7C" w:rsidP="001B373B">
      <w:r>
        <w:t>Résolutions des problèmes restant sur le Back-end d’ATLAS LAr.</w:t>
      </w:r>
    </w:p>
    <w:p w:rsidR="00905F7C" w:rsidRDefault="00905F7C" w:rsidP="001B373B">
      <w:r>
        <w:t>Mise à jour de la documentation des outils Boundary Scan Testway, Cascon, Quadview.</w:t>
      </w:r>
    </w:p>
    <w:p w:rsidR="00905F7C" w:rsidRDefault="00905F7C" w:rsidP="001B373B"/>
    <w:p w:rsidR="00905F7C" w:rsidRDefault="00905F7C" w:rsidP="001B373B">
      <w:r>
        <w:t>Cyril :</w:t>
      </w:r>
    </w:p>
    <w:p w:rsidR="00905F7C" w:rsidRDefault="00905F7C" w:rsidP="001B373B">
      <w:r>
        <w:t>Maintenance de LHCB</w:t>
      </w:r>
    </w:p>
    <w:p w:rsidR="00176494" w:rsidRDefault="00176494" w:rsidP="001B373B">
      <w:r w:rsidRPr="002D43E0">
        <w:t>4</w:t>
      </w:r>
      <w:r w:rsidRPr="002D43E0">
        <w:rPr>
          <w:vertAlign w:val="superscript"/>
        </w:rPr>
        <w:t>ème</w:t>
      </w:r>
      <w:r w:rsidRPr="002D43E0">
        <w:t xml:space="preserve"> </w:t>
      </w:r>
      <w:r w:rsidR="00BE7A47" w:rsidRPr="002D43E0">
        <w:t>ASU 32*48 cm terminé</w:t>
      </w:r>
      <w:r>
        <w:t>. Un 5</w:t>
      </w:r>
      <w:r w:rsidRPr="00176494">
        <w:rPr>
          <w:vertAlign w:val="superscript"/>
        </w:rPr>
        <w:t>ème</w:t>
      </w:r>
      <w:r>
        <w:t xml:space="preserve"> en fabrication. L’électronique fonctionne à part un bug dans l’électronique du LAL. Pbs de court-circuits dans les détecteurs qui nécessitent des cycles de cuisson pour être nettoyés.</w:t>
      </w:r>
    </w:p>
    <w:p w:rsidR="00905F7C" w:rsidRDefault="00905F7C" w:rsidP="001B373B"/>
    <w:p w:rsidR="00905F7C" w:rsidRDefault="00176494" w:rsidP="001B373B">
      <w:r>
        <w:t>Richard :</w:t>
      </w:r>
    </w:p>
    <w:p w:rsidR="00176494" w:rsidRDefault="003504AE" w:rsidP="001B373B">
      <w:r>
        <w:lastRenderedPageBreak/>
        <w:t>POLAR Circuit 64 voies, changements pour le trigger, le temps morts, la mémoire analogique. Beaucoup d’interrogations. Le chip devrait être fabriqué au 2</w:t>
      </w:r>
      <w:r w:rsidRPr="003504AE">
        <w:rPr>
          <w:vertAlign w:val="superscript"/>
        </w:rPr>
        <w:t>ème</w:t>
      </w:r>
      <w:r>
        <w:t xml:space="preserve"> semestre (fin de l’année).</w:t>
      </w:r>
    </w:p>
    <w:p w:rsidR="003504AE" w:rsidRDefault="003504AE" w:rsidP="001B373B">
      <w:r>
        <w:t>Si PM se référer à Nadia et Jean</w:t>
      </w:r>
    </w:p>
    <w:p w:rsidR="003504AE" w:rsidRDefault="003504AE" w:rsidP="001B373B">
      <w:r>
        <w:t>AMS soucis de CEM avec les tests effectués aux Pays-Bas.</w:t>
      </w:r>
    </w:p>
    <w:p w:rsidR="003504AE" w:rsidRDefault="003504AE" w:rsidP="001B373B"/>
    <w:p w:rsidR="003504AE" w:rsidRDefault="003504AE" w:rsidP="001B373B">
      <w:r>
        <w:t>Julie :</w:t>
      </w:r>
    </w:p>
    <w:p w:rsidR="003504AE" w:rsidRDefault="003504AE" w:rsidP="001B373B">
      <w:r>
        <w:t>HESS préparation installation</w:t>
      </w:r>
    </w:p>
    <w:p w:rsidR="003504AE" w:rsidRDefault="003504AE" w:rsidP="001B373B">
      <w:r>
        <w:t>MicroMegas préparation de la production</w:t>
      </w:r>
    </w:p>
    <w:p w:rsidR="003504AE" w:rsidRDefault="003504AE" w:rsidP="001B373B"/>
    <w:p w:rsidR="003504AE" w:rsidRDefault="003504AE" w:rsidP="001B373B">
      <w:r>
        <w:t>Nicolas M :</w:t>
      </w:r>
    </w:p>
    <w:p w:rsidR="003504AE" w:rsidRPr="004203B4" w:rsidRDefault="003504AE" w:rsidP="001B373B">
      <w:r>
        <w:t>Services de l’upgrade sLHC pour le inner detector. Surtout du travail avec les mécaniciens pour l’intégration.</w:t>
      </w:r>
    </w:p>
    <w:p w:rsidR="008E1126" w:rsidRDefault="00546BF1" w:rsidP="0046535E">
      <w:pPr>
        <w:pStyle w:val="Titre1"/>
        <w:jc w:val="both"/>
      </w:pPr>
      <w:r>
        <w:t>Présentation technique :</w:t>
      </w:r>
      <w:r w:rsidR="008E1126">
        <w:t xml:space="preserve"> </w:t>
      </w:r>
    </w:p>
    <w:p w:rsidR="00DC5699" w:rsidRDefault="00546BF1" w:rsidP="00DC5699">
      <w:r>
        <w:t>Faute de temps, elle est reportée à la prochaine réunion de service.</w:t>
      </w:r>
    </w:p>
    <w:p w:rsidR="00DC5699" w:rsidRDefault="00DC5699" w:rsidP="00DC5699"/>
    <w:sectPr w:rsidR="00DC5699" w:rsidSect="009877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51" w:rsidRDefault="00937C51">
      <w:r>
        <w:separator/>
      </w:r>
    </w:p>
  </w:endnote>
  <w:endnote w:type="continuationSeparator" w:id="0">
    <w:p w:rsidR="00937C51" w:rsidRDefault="0093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50" w:rsidRDefault="00696F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51B5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51B50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51B50" w:rsidRDefault="00551B5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50" w:rsidRPr="009553AC" w:rsidRDefault="00551B50" w:rsidP="008A7093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0"/>
      </w:tabs>
      <w:ind w:right="-468"/>
      <w:rPr>
        <w:rFonts w:ascii="Arial" w:hAnsi="Arial" w:cs="Arial"/>
        <w:sz w:val="16"/>
        <w:szCs w:val="16"/>
      </w:rPr>
    </w:pPr>
    <w:r w:rsidRPr="009553AC">
      <w:rPr>
        <w:rFonts w:ascii="Arial" w:hAnsi="Arial" w:cs="Arial"/>
        <w:sz w:val="16"/>
        <w:szCs w:val="16"/>
      </w:rPr>
      <w:t>LAPP-F-</w:t>
    </w:r>
    <w:r w:rsidR="008A7093">
      <w:rPr>
        <w:rFonts w:ascii="Arial" w:hAnsi="Arial" w:cs="Arial"/>
        <w:sz w:val="16"/>
        <w:szCs w:val="16"/>
      </w:rPr>
      <w:t>QUAL</w:t>
    </w:r>
    <w:r w:rsidRPr="009553AC">
      <w:rPr>
        <w:rFonts w:ascii="Arial" w:hAnsi="Arial" w:cs="Arial"/>
        <w:sz w:val="16"/>
        <w:szCs w:val="16"/>
      </w:rPr>
      <w:t>-DOC-002</w:t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="008A7093">
      <w:rPr>
        <w:rFonts w:ascii="Arial" w:hAnsi="Arial" w:cs="Arial"/>
        <w:sz w:val="16"/>
        <w:szCs w:val="16"/>
      </w:rPr>
      <w:tab/>
    </w:r>
    <w:r w:rsidR="008A7093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  <w:t xml:space="preserve">  </w:t>
    </w:r>
    <w:r w:rsidR="00696F59" w:rsidRPr="00874CCD">
      <w:rPr>
        <w:rStyle w:val="Numrodepage"/>
        <w:rFonts w:ascii="Arial" w:hAnsi="Arial" w:cs="Arial"/>
        <w:sz w:val="16"/>
        <w:szCs w:val="16"/>
      </w:rPr>
      <w:fldChar w:fldCharType="begin"/>
    </w:r>
    <w:r w:rsidRPr="009553AC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696F59" w:rsidRPr="00874CCD">
      <w:rPr>
        <w:rStyle w:val="Numrodepage"/>
        <w:rFonts w:ascii="Arial" w:hAnsi="Arial" w:cs="Arial"/>
        <w:sz w:val="16"/>
        <w:szCs w:val="16"/>
      </w:rPr>
      <w:fldChar w:fldCharType="separate"/>
    </w:r>
    <w:r w:rsidR="002D43E0">
      <w:rPr>
        <w:rStyle w:val="Numrodepage"/>
        <w:rFonts w:ascii="Arial" w:hAnsi="Arial" w:cs="Arial"/>
        <w:noProof/>
        <w:sz w:val="16"/>
        <w:szCs w:val="16"/>
      </w:rPr>
      <w:t>1</w:t>
    </w:r>
    <w:r w:rsidR="00696F59" w:rsidRPr="00874CCD">
      <w:rPr>
        <w:rStyle w:val="Numrodepage"/>
        <w:rFonts w:ascii="Arial" w:hAnsi="Arial" w:cs="Arial"/>
        <w:sz w:val="16"/>
        <w:szCs w:val="16"/>
      </w:rPr>
      <w:fldChar w:fldCharType="end"/>
    </w:r>
    <w:r w:rsidRPr="009553AC">
      <w:rPr>
        <w:rStyle w:val="Numrodepage"/>
        <w:rFonts w:ascii="Arial" w:hAnsi="Arial" w:cs="Arial"/>
        <w:sz w:val="16"/>
        <w:szCs w:val="16"/>
      </w:rPr>
      <w:t>/</w:t>
    </w:r>
    <w:r w:rsidR="00696F59" w:rsidRPr="00874CCD">
      <w:rPr>
        <w:rStyle w:val="Numrodepage"/>
        <w:rFonts w:ascii="Arial" w:hAnsi="Arial" w:cs="Arial"/>
        <w:sz w:val="16"/>
        <w:szCs w:val="16"/>
      </w:rPr>
      <w:fldChar w:fldCharType="begin"/>
    </w:r>
    <w:r w:rsidRPr="009553AC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696F59" w:rsidRPr="00874CCD">
      <w:rPr>
        <w:rStyle w:val="Numrodepage"/>
        <w:rFonts w:ascii="Arial" w:hAnsi="Arial" w:cs="Arial"/>
        <w:sz w:val="16"/>
        <w:szCs w:val="16"/>
      </w:rPr>
      <w:fldChar w:fldCharType="separate"/>
    </w:r>
    <w:r w:rsidR="002D43E0">
      <w:rPr>
        <w:rStyle w:val="Numrodepage"/>
        <w:rFonts w:ascii="Arial" w:hAnsi="Arial" w:cs="Arial"/>
        <w:noProof/>
        <w:sz w:val="16"/>
        <w:szCs w:val="16"/>
      </w:rPr>
      <w:t>4</w:t>
    </w:r>
    <w:r w:rsidR="00696F59" w:rsidRPr="00874CCD">
      <w:rPr>
        <w:rStyle w:val="Numrodepage"/>
        <w:rFonts w:ascii="Arial" w:hAnsi="Arial" w:cs="Arial"/>
        <w:sz w:val="16"/>
        <w:szCs w:val="16"/>
      </w:rPr>
      <w:fldChar w:fldCharType="end"/>
    </w:r>
  </w:p>
  <w:p w:rsidR="00551B50" w:rsidRPr="009553AC" w:rsidRDefault="00551B50" w:rsidP="009553AC">
    <w:pPr>
      <w:pStyle w:val="Pieddepage"/>
      <w:tabs>
        <w:tab w:val="clear" w:pos="4536"/>
        <w:tab w:val="clear" w:pos="9072"/>
        <w:tab w:val="right" w:pos="0"/>
      </w:tabs>
      <w:rPr>
        <w:rFonts w:ascii="Arial" w:hAnsi="Arial" w:cs="Arial"/>
        <w:sz w:val="18"/>
      </w:rPr>
    </w:pPr>
    <w:r w:rsidRPr="009553AC">
      <w:rPr>
        <w:rFonts w:ascii="Arial" w:hAnsi="Arial" w:cs="Arial"/>
        <w:sz w:val="16"/>
        <w:szCs w:val="16"/>
      </w:rPr>
      <w:t>Vers.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51" w:rsidRDefault="00937C51">
      <w:r>
        <w:separator/>
      </w:r>
    </w:p>
  </w:footnote>
  <w:footnote w:type="continuationSeparator" w:id="0">
    <w:p w:rsidR="00937C51" w:rsidRDefault="00937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50" w:rsidRDefault="00696F59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9.8pt;margin-top:72.2pt;width:244.8pt;height:54pt;z-index:251657728;mso-position-vertical-relative:page" filled="f" stroked="f">
          <v:fill opacity=".5"/>
          <v:textbox style="mso-next-textbox:#_x0000_s2050">
            <w:txbxContent>
              <w:p w:rsidR="00551B50" w:rsidRPr="00C25ABB" w:rsidRDefault="00551B50" w:rsidP="00551B50">
                <w:pPr>
                  <w:pStyle w:val="Annexe"/>
                  <w:rPr>
                    <w:rFonts w:ascii="Palatino" w:hAnsi="Palatino"/>
                    <w:noProof/>
                    <w:sz w:val="18"/>
                    <w:szCs w:val="18"/>
                  </w:rPr>
                </w:pPr>
                <w:r w:rsidRPr="00C25ABB">
                  <w:rPr>
                    <w:rFonts w:ascii="Palatino" w:hAnsi="Palatino"/>
                    <w:noProof/>
                    <w:sz w:val="18"/>
                    <w:szCs w:val="18"/>
                  </w:rPr>
                  <w:t xml:space="preserve">BP110 – 9, Chemin de Bellevue </w:t>
                </w:r>
              </w:p>
              <w:p w:rsidR="00551B50" w:rsidRPr="00C25ABB" w:rsidRDefault="00551B50" w:rsidP="00551B50">
                <w:pPr>
                  <w:pStyle w:val="Annexe"/>
                  <w:rPr>
                    <w:rFonts w:ascii="Palatino" w:hAnsi="Palatino"/>
                    <w:sz w:val="18"/>
                    <w:szCs w:val="18"/>
                  </w:rPr>
                </w:pPr>
                <w:r w:rsidRPr="00C25ABB">
                  <w:rPr>
                    <w:rFonts w:ascii="Palatino" w:hAnsi="Palatino"/>
                    <w:sz w:val="18"/>
                    <w:szCs w:val="18"/>
                  </w:rPr>
                  <w:t>74941 Annecy-le-vieux CEDEX - FRANCE</w:t>
                </w:r>
              </w:p>
              <w:p w:rsidR="00551B50" w:rsidRPr="00C25ABB" w:rsidRDefault="00551B50" w:rsidP="00551B50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Palatino" w:hAnsi="Palatino"/>
                    <w:noProof/>
                    <w:sz w:val="18"/>
                    <w:szCs w:val="18"/>
                  </w:rPr>
                </w:pPr>
                <w:r w:rsidRPr="00C25ABB">
                  <w:rPr>
                    <w:rFonts w:ascii="Palatino" w:hAnsi="Palatino"/>
                    <w:noProof/>
                    <w:sz w:val="18"/>
                    <w:szCs w:val="18"/>
                  </w:rPr>
                  <w:t>T</w:t>
                </w:r>
                <w:r>
                  <w:rPr>
                    <w:rFonts w:ascii="Palatino" w:hAnsi="Palatino"/>
                    <w:noProof/>
                    <w:sz w:val="18"/>
                    <w:szCs w:val="18"/>
                  </w:rPr>
                  <w:t>él : (33) (0)4-50-</w:t>
                </w:r>
                <w:r w:rsidRPr="00C25ABB">
                  <w:rPr>
                    <w:rFonts w:ascii="Palatino" w:hAnsi="Palatino"/>
                    <w:noProof/>
                    <w:sz w:val="18"/>
                    <w:szCs w:val="18"/>
                  </w:rPr>
                  <w:t xml:space="preserve">09-16-00 – Fax : (33) (0)4-50-27-94-95 </w:t>
                </w:r>
              </w:p>
              <w:p w:rsidR="00551B50" w:rsidRPr="005E075A" w:rsidRDefault="00696F59" w:rsidP="00551B50">
                <w:pPr>
                  <w:rPr>
                    <w:rFonts w:ascii="Palatino" w:hAnsi="Palatino"/>
                    <w:color w:val="0000FF"/>
                    <w:sz w:val="18"/>
                    <w:szCs w:val="18"/>
                    <w:u w:val="single"/>
                  </w:rPr>
                </w:pPr>
                <w:hyperlink r:id="rId1" w:history="1">
                  <w:r w:rsidR="00551B50" w:rsidRPr="005E075A">
                    <w:rPr>
                      <w:rStyle w:val="Lienhypertexte"/>
                      <w:rFonts w:ascii="Palatino" w:hAnsi="Palatino"/>
                      <w:noProof/>
                      <w:sz w:val="18"/>
                      <w:szCs w:val="18"/>
                    </w:rPr>
                    <w:t>http://wwwlapp.in2p3.fr/</w:t>
                  </w:r>
                </w:hyperlink>
              </w:p>
            </w:txbxContent>
          </v:textbox>
          <w10:wrap anchory="page"/>
        </v:shape>
      </w:pict>
    </w:r>
    <w:r w:rsidR="0009121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-104140</wp:posOffset>
          </wp:positionV>
          <wp:extent cx="885825" cy="557530"/>
          <wp:effectExtent l="19050" t="0" r="9525" b="0"/>
          <wp:wrapTight wrapText="bothSides">
            <wp:wrapPolygon edited="0">
              <wp:start x="-465" y="0"/>
              <wp:lineTo x="-465" y="20665"/>
              <wp:lineTo x="21832" y="20665"/>
              <wp:lineTo x="21832" y="0"/>
              <wp:lineTo x="-46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AC" w:rsidRDefault="0009121C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-104140</wp:posOffset>
          </wp:positionV>
          <wp:extent cx="885825" cy="557530"/>
          <wp:effectExtent l="19050" t="0" r="9525" b="0"/>
          <wp:wrapTight wrapText="bothSides">
            <wp:wrapPolygon edited="0">
              <wp:start x="-465" y="0"/>
              <wp:lineTo x="-465" y="20665"/>
              <wp:lineTo x="21832" y="20665"/>
              <wp:lineTo x="21832" y="0"/>
              <wp:lineTo x="-465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85A"/>
    <w:multiLevelType w:val="multilevel"/>
    <w:tmpl w:val="3304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10C5D"/>
    <w:multiLevelType w:val="multilevel"/>
    <w:tmpl w:val="95046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A57A22"/>
    <w:multiLevelType w:val="multilevel"/>
    <w:tmpl w:val="934AF78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3514A93"/>
    <w:multiLevelType w:val="multilevel"/>
    <w:tmpl w:val="99FA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27084"/>
    <w:multiLevelType w:val="hybridMultilevel"/>
    <w:tmpl w:val="D8222D0A"/>
    <w:lvl w:ilvl="0" w:tplc="B58C43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7581B8B"/>
    <w:multiLevelType w:val="hybridMultilevel"/>
    <w:tmpl w:val="40F42F54"/>
    <w:lvl w:ilvl="0" w:tplc="60FC14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8D41842"/>
    <w:multiLevelType w:val="hybridMultilevel"/>
    <w:tmpl w:val="71820404"/>
    <w:lvl w:ilvl="0" w:tplc="F9F0FB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C18D6"/>
    <w:multiLevelType w:val="multilevel"/>
    <w:tmpl w:val="0C3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D0B3D"/>
    <w:multiLevelType w:val="multilevel"/>
    <w:tmpl w:val="EAC41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A9E04E2"/>
    <w:multiLevelType w:val="hybridMultilevel"/>
    <w:tmpl w:val="E126F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C3ABD"/>
    <w:multiLevelType w:val="hybridMultilevel"/>
    <w:tmpl w:val="51AEE0B6"/>
    <w:lvl w:ilvl="0" w:tplc="A7C828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A24B69"/>
    <w:multiLevelType w:val="hybridMultilevel"/>
    <w:tmpl w:val="9130838A"/>
    <w:lvl w:ilvl="0" w:tplc="A7C828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A4114B"/>
    <w:multiLevelType w:val="hybridMultilevel"/>
    <w:tmpl w:val="456CC7CE"/>
    <w:lvl w:ilvl="0" w:tplc="A7C828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1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3429"/>
    <w:rsid w:val="0000297B"/>
    <w:rsid w:val="000050C0"/>
    <w:rsid w:val="00005581"/>
    <w:rsid w:val="00034F3B"/>
    <w:rsid w:val="00046F8F"/>
    <w:rsid w:val="000621E2"/>
    <w:rsid w:val="0009121C"/>
    <w:rsid w:val="000B619C"/>
    <w:rsid w:val="000C3429"/>
    <w:rsid w:val="000C3F97"/>
    <w:rsid w:val="000C7829"/>
    <w:rsid w:val="000F5F3A"/>
    <w:rsid w:val="00132363"/>
    <w:rsid w:val="00160510"/>
    <w:rsid w:val="00167876"/>
    <w:rsid w:val="00176494"/>
    <w:rsid w:val="001907BD"/>
    <w:rsid w:val="001A399A"/>
    <w:rsid w:val="001B373B"/>
    <w:rsid w:val="001B6F85"/>
    <w:rsid w:val="001E6C36"/>
    <w:rsid w:val="00224CDF"/>
    <w:rsid w:val="00246CCC"/>
    <w:rsid w:val="0025476B"/>
    <w:rsid w:val="002C0B14"/>
    <w:rsid w:val="002D2890"/>
    <w:rsid w:val="002D43E0"/>
    <w:rsid w:val="002F0C02"/>
    <w:rsid w:val="002F2135"/>
    <w:rsid w:val="002F2B68"/>
    <w:rsid w:val="003504AE"/>
    <w:rsid w:val="00351DA2"/>
    <w:rsid w:val="00352B20"/>
    <w:rsid w:val="003544DA"/>
    <w:rsid w:val="00366B08"/>
    <w:rsid w:val="0037704D"/>
    <w:rsid w:val="00390C9C"/>
    <w:rsid w:val="003B628B"/>
    <w:rsid w:val="003E29AC"/>
    <w:rsid w:val="004203B4"/>
    <w:rsid w:val="00423AFD"/>
    <w:rsid w:val="0046198D"/>
    <w:rsid w:val="0046348D"/>
    <w:rsid w:val="0046535E"/>
    <w:rsid w:val="004B7AF5"/>
    <w:rsid w:val="004C253E"/>
    <w:rsid w:val="00514667"/>
    <w:rsid w:val="00520A44"/>
    <w:rsid w:val="005456C8"/>
    <w:rsid w:val="00546BF1"/>
    <w:rsid w:val="00551B50"/>
    <w:rsid w:val="00604129"/>
    <w:rsid w:val="00634267"/>
    <w:rsid w:val="00656B80"/>
    <w:rsid w:val="00671C76"/>
    <w:rsid w:val="006862DE"/>
    <w:rsid w:val="00695A12"/>
    <w:rsid w:val="00696F59"/>
    <w:rsid w:val="006D16AC"/>
    <w:rsid w:val="006E5DC8"/>
    <w:rsid w:val="00722069"/>
    <w:rsid w:val="00732E26"/>
    <w:rsid w:val="00763831"/>
    <w:rsid w:val="00781612"/>
    <w:rsid w:val="00782225"/>
    <w:rsid w:val="00784CCB"/>
    <w:rsid w:val="0078672E"/>
    <w:rsid w:val="007A2F7E"/>
    <w:rsid w:val="007B1817"/>
    <w:rsid w:val="007D30B0"/>
    <w:rsid w:val="007F624C"/>
    <w:rsid w:val="00830202"/>
    <w:rsid w:val="008A7093"/>
    <w:rsid w:val="008B294D"/>
    <w:rsid w:val="008B6FFE"/>
    <w:rsid w:val="008E1126"/>
    <w:rsid w:val="00905F7C"/>
    <w:rsid w:val="00914A21"/>
    <w:rsid w:val="00930328"/>
    <w:rsid w:val="00935699"/>
    <w:rsid w:val="00937C51"/>
    <w:rsid w:val="009553AC"/>
    <w:rsid w:val="00961F2F"/>
    <w:rsid w:val="00972B20"/>
    <w:rsid w:val="0098776D"/>
    <w:rsid w:val="009B105F"/>
    <w:rsid w:val="009C0B51"/>
    <w:rsid w:val="009C71E7"/>
    <w:rsid w:val="009D22CF"/>
    <w:rsid w:val="009E5B9A"/>
    <w:rsid w:val="00A12D41"/>
    <w:rsid w:val="00A3135A"/>
    <w:rsid w:val="00A34726"/>
    <w:rsid w:val="00A83F48"/>
    <w:rsid w:val="00A97C0D"/>
    <w:rsid w:val="00AA25F7"/>
    <w:rsid w:val="00AB7389"/>
    <w:rsid w:val="00B10B8E"/>
    <w:rsid w:val="00B2584A"/>
    <w:rsid w:val="00B30D22"/>
    <w:rsid w:val="00B3501C"/>
    <w:rsid w:val="00B404D5"/>
    <w:rsid w:val="00B43986"/>
    <w:rsid w:val="00B7478A"/>
    <w:rsid w:val="00B7674E"/>
    <w:rsid w:val="00B932CF"/>
    <w:rsid w:val="00BA19AB"/>
    <w:rsid w:val="00BB58E6"/>
    <w:rsid w:val="00BD312E"/>
    <w:rsid w:val="00BE7A47"/>
    <w:rsid w:val="00BF6444"/>
    <w:rsid w:val="00C27E61"/>
    <w:rsid w:val="00C86909"/>
    <w:rsid w:val="00C97800"/>
    <w:rsid w:val="00CC0E67"/>
    <w:rsid w:val="00CC7B9C"/>
    <w:rsid w:val="00CE0800"/>
    <w:rsid w:val="00CE2AB2"/>
    <w:rsid w:val="00D0704D"/>
    <w:rsid w:val="00D1572C"/>
    <w:rsid w:val="00D16103"/>
    <w:rsid w:val="00D4432F"/>
    <w:rsid w:val="00D717ED"/>
    <w:rsid w:val="00D73711"/>
    <w:rsid w:val="00D76B7B"/>
    <w:rsid w:val="00D776BE"/>
    <w:rsid w:val="00D800DC"/>
    <w:rsid w:val="00D83AF3"/>
    <w:rsid w:val="00D905AA"/>
    <w:rsid w:val="00DC5699"/>
    <w:rsid w:val="00DD14D8"/>
    <w:rsid w:val="00DE3495"/>
    <w:rsid w:val="00DF0712"/>
    <w:rsid w:val="00E25FC3"/>
    <w:rsid w:val="00E41383"/>
    <w:rsid w:val="00E42CF3"/>
    <w:rsid w:val="00E53677"/>
    <w:rsid w:val="00E712FC"/>
    <w:rsid w:val="00E94B23"/>
    <w:rsid w:val="00EA56D4"/>
    <w:rsid w:val="00EB743A"/>
    <w:rsid w:val="00EC7926"/>
    <w:rsid w:val="00ED15DD"/>
    <w:rsid w:val="00EF0544"/>
    <w:rsid w:val="00EF5A01"/>
    <w:rsid w:val="00EF7B52"/>
    <w:rsid w:val="00F112C5"/>
    <w:rsid w:val="00F13BB7"/>
    <w:rsid w:val="00F22244"/>
    <w:rsid w:val="00F23C23"/>
    <w:rsid w:val="00F43DC5"/>
    <w:rsid w:val="00F82217"/>
    <w:rsid w:val="00FB63EC"/>
    <w:rsid w:val="00FE2731"/>
    <w:rsid w:val="00F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76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8776D"/>
    <w:pPr>
      <w:keepNext/>
      <w:numPr>
        <w:numId w:val="3"/>
      </w:numPr>
      <w:spacing w:before="240" w:after="60"/>
      <w:outlineLvl w:val="0"/>
    </w:pPr>
    <w:rPr>
      <w:rFonts w:ascii="Helvetica" w:hAnsi="Helvetica" w:cs="Arial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qFormat/>
    <w:rsid w:val="0098776D"/>
    <w:pPr>
      <w:keepNext/>
      <w:numPr>
        <w:ilvl w:val="1"/>
        <w:numId w:val="3"/>
      </w:numPr>
      <w:spacing w:before="240" w:after="60"/>
      <w:outlineLvl w:val="1"/>
    </w:pPr>
    <w:rPr>
      <w:rFonts w:ascii="Helvetica" w:hAnsi="Helvetica" w:cs="Arial"/>
      <w:b/>
      <w:bCs/>
      <w:iCs/>
      <w:szCs w:val="28"/>
      <w:u w:val="single"/>
    </w:rPr>
  </w:style>
  <w:style w:type="paragraph" w:styleId="Titre3">
    <w:name w:val="heading 3"/>
    <w:basedOn w:val="Normal"/>
    <w:next w:val="Normal"/>
    <w:qFormat/>
    <w:rsid w:val="0098776D"/>
    <w:pPr>
      <w:keepNext/>
      <w:numPr>
        <w:ilvl w:val="2"/>
        <w:numId w:val="3"/>
      </w:numPr>
      <w:spacing w:before="240" w:after="60"/>
      <w:ind w:left="1225" w:hanging="505"/>
      <w:outlineLvl w:val="2"/>
    </w:pPr>
    <w:rPr>
      <w:rFonts w:ascii="Arial" w:hAnsi="Arial" w:cs="Arial"/>
      <w:bCs/>
      <w:i/>
      <w:szCs w:val="26"/>
      <w:u w:val="single"/>
    </w:rPr>
  </w:style>
  <w:style w:type="paragraph" w:styleId="Titre4">
    <w:name w:val="heading 4"/>
    <w:basedOn w:val="Normal"/>
    <w:next w:val="Normal"/>
    <w:qFormat/>
    <w:rsid w:val="0098776D"/>
    <w:pPr>
      <w:keepNext/>
      <w:ind w:left="18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98776D"/>
    <w:pPr>
      <w:keepNext/>
      <w:framePr w:hSpace="141" w:wrap="around" w:vAnchor="text" w:hAnchor="margin" w:xAlign="right" w:y="-358"/>
      <w:spacing w:line="240" w:lineRule="exact"/>
      <w:jc w:val="center"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98776D"/>
    <w:pPr>
      <w:keepNext/>
      <w:jc w:val="center"/>
      <w:outlineLvl w:val="5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8776D"/>
    <w:rPr>
      <w:color w:val="0000FF"/>
      <w:u w:val="single"/>
    </w:rPr>
  </w:style>
  <w:style w:type="paragraph" w:customStyle="1" w:styleId="Annexe">
    <w:name w:val="Annexe"/>
    <w:basedOn w:val="Normal"/>
    <w:rsid w:val="0098776D"/>
    <w:rPr>
      <w:rFonts w:ascii="Verdana" w:hAnsi="Verdana"/>
      <w:sz w:val="22"/>
      <w:szCs w:val="20"/>
    </w:rPr>
  </w:style>
  <w:style w:type="paragraph" w:styleId="Pieddepage">
    <w:name w:val="footer"/>
    <w:basedOn w:val="Normal"/>
    <w:rsid w:val="0098776D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paragraph" w:customStyle="1" w:styleId="-">
    <w:name w:val="-"/>
    <w:rsid w:val="0098776D"/>
    <w:pPr>
      <w:spacing w:line="280" w:lineRule="atLeast"/>
    </w:pPr>
    <w:rPr>
      <w:color w:val="000000"/>
      <w:sz w:val="24"/>
    </w:rPr>
  </w:style>
  <w:style w:type="paragraph" w:customStyle="1" w:styleId="entetetablo">
    <w:name w:val="entete tablo"/>
    <w:basedOn w:val="Normal"/>
    <w:rsid w:val="0098776D"/>
    <w:pPr>
      <w:jc w:val="center"/>
    </w:pPr>
    <w:rPr>
      <w:rFonts w:ascii="Arial" w:hAnsi="Arial"/>
      <w:color w:val="000000"/>
      <w:sz w:val="18"/>
      <w:szCs w:val="20"/>
    </w:rPr>
  </w:style>
  <w:style w:type="paragraph" w:customStyle="1" w:styleId="cellule">
    <w:name w:val="cellule"/>
    <w:basedOn w:val="Normal"/>
    <w:rsid w:val="0098776D"/>
    <w:pPr>
      <w:spacing w:before="60" w:after="60"/>
      <w:ind w:left="210" w:right="68"/>
    </w:pPr>
    <w:rPr>
      <w:noProof/>
      <w:color w:val="000000"/>
      <w:szCs w:val="20"/>
    </w:rPr>
  </w:style>
  <w:style w:type="paragraph" w:styleId="Notedebasdepage">
    <w:name w:val="footnote text"/>
    <w:basedOn w:val="-"/>
    <w:next w:val="Normal"/>
    <w:semiHidden/>
    <w:rsid w:val="0098776D"/>
    <w:pPr>
      <w:ind w:left="280" w:hanging="280"/>
    </w:pPr>
    <w:rPr>
      <w:sz w:val="20"/>
    </w:rPr>
  </w:style>
  <w:style w:type="paragraph" w:customStyle="1" w:styleId="entetetablocolonne">
    <w:name w:val="entete tablo colonne"/>
    <w:basedOn w:val="entetetablo"/>
    <w:rsid w:val="0098776D"/>
    <w:pPr>
      <w:tabs>
        <w:tab w:val="right" w:pos="2268"/>
      </w:tabs>
      <w:spacing w:before="120" w:after="120"/>
      <w:jc w:val="left"/>
    </w:pPr>
  </w:style>
  <w:style w:type="character" w:styleId="Numrodepage">
    <w:name w:val="page number"/>
    <w:basedOn w:val="Policepardfaut"/>
    <w:rsid w:val="0098776D"/>
  </w:style>
  <w:style w:type="paragraph" w:styleId="En-tte">
    <w:name w:val="header"/>
    <w:basedOn w:val="Normal"/>
    <w:rsid w:val="0098776D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98776D"/>
    <w:rPr>
      <w:sz w:val="16"/>
      <w:szCs w:val="16"/>
    </w:rPr>
  </w:style>
  <w:style w:type="paragraph" w:styleId="Commentaire">
    <w:name w:val="annotation text"/>
    <w:basedOn w:val="Normal"/>
    <w:semiHidden/>
    <w:rsid w:val="0098776D"/>
    <w:rPr>
      <w:sz w:val="20"/>
      <w:szCs w:val="20"/>
    </w:rPr>
  </w:style>
  <w:style w:type="character" w:styleId="Lienhypertextesuivivisit">
    <w:name w:val="FollowedHyperlink"/>
    <w:basedOn w:val="Policepardfaut"/>
    <w:rsid w:val="00DD14D8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2F21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F21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2B20"/>
    <w:pPr>
      <w:ind w:left="708"/>
    </w:pPr>
  </w:style>
  <w:style w:type="character" w:customStyle="1" w:styleId="Titre1Car">
    <w:name w:val="Titre 1 Car"/>
    <w:basedOn w:val="Policepardfaut"/>
    <w:link w:val="Titre1"/>
    <w:rsid w:val="007A2F7E"/>
    <w:rPr>
      <w:rFonts w:ascii="Helvetica" w:hAnsi="Helvetica" w:cs="Arial"/>
      <w:b/>
      <w:bCs/>
      <w:kern w:val="32"/>
      <w:sz w:val="32"/>
      <w:szCs w:val="32"/>
      <w:u w:val="single"/>
      <w:lang w:val="fr-FR" w:eastAsia="fr-FR" w:bidi="ar-SA"/>
    </w:rPr>
  </w:style>
  <w:style w:type="character" w:styleId="lev">
    <w:name w:val="Strong"/>
    <w:basedOn w:val="Policepardfaut"/>
    <w:qFormat/>
    <w:rsid w:val="007F6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lapp.in2p3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mbar\Bureau\modele_CR_reunion(LAPP-F-QUAL-DOC-00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modele_CR_reunion(LAPP-F-QUAL-DOC-002).dot</Template>
  <TotalTime>1</TotalTime>
  <Pages>4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 du document</vt:lpstr>
    </vt:vector>
  </TitlesOfParts>
  <Company>IN2P3</Company>
  <LinksUpToDate>false</LinksUpToDate>
  <CharactersWithSpaces>4940</CharactersWithSpaces>
  <SharedDoc>false</SharedDoc>
  <HLinks>
    <vt:vector size="12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http://indico.in2p3.fr/conferenceDisplay.py?confId=795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http://wwwlapp.in2p3.fr/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 du document</dc:title>
  <dc:subject/>
  <dc:creator>bombar</dc:creator>
  <cp:keywords/>
  <dc:description/>
  <cp:lastModifiedBy>perrotg</cp:lastModifiedBy>
  <cp:revision>2</cp:revision>
  <cp:lastPrinted>2004-09-20T16:08:00Z</cp:lastPrinted>
  <dcterms:created xsi:type="dcterms:W3CDTF">2010-03-05T14:39:00Z</dcterms:created>
  <dcterms:modified xsi:type="dcterms:W3CDTF">2010-03-05T14:39:00Z</dcterms:modified>
</cp:coreProperties>
</file>