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lang w:val="en-US"/>
        </w:rPr>
      </w:pPr>
      <w:r>
        <w:rPr>
          <w:lang w:val="en-US"/>
        </w:rPr>
        <w:t>ESCAPE OSSR onboarding</w:t>
      </w:r>
    </w:p>
    <w:p>
      <w:pPr>
        <w:pStyle w:val="Subtitle"/>
        <w:rPr/>
      </w:pPr>
      <w:r>
        <w:rPr>
          <w:color w:val="44546A" w:themeColor="text2"/>
          <w:sz w:val="24"/>
          <w:lang w:val="en-US"/>
        </w:rPr>
        <w:t>"ConCORDIA Containers" tech report</w:t>
      </w:r>
    </w:p>
    <w:p>
      <w:pPr>
        <w:pStyle w:val="Normal"/>
        <w:rPr>
          <w:color w:val="BFBFBF" w:themeColor="background1" w:themeShade="bf"/>
          <w:lang w:val="en-US"/>
        </w:rPr>
      </w:pPr>
      <w:r>
        <w:rPr>
          <w:color w:val="BFBFBF" w:themeColor="background1" w:themeShade="bf"/>
          <w:lang w:val="en-US"/>
        </w:rPr>
      </w:r>
    </w:p>
    <w:p>
      <w:pPr>
        <w:pStyle w:val="Heading1"/>
        <w:rPr/>
      </w:pPr>
      <w:r>
        <w:rPr>
          <w:lang w:val="en-US"/>
        </w:rPr>
        <w:t>Context</w:t>
      </w:r>
    </w:p>
    <w:p>
      <w:pPr>
        <w:pStyle w:val="Heading1"/>
        <w:rPr>
          <w:lang w:val="en-US"/>
        </w:rPr>
      </w:pPr>
      <w:r>
        <w:rPr>
          <w:lang w:val="en-US"/>
        </w:rPr>
      </w:r>
    </w:p>
    <w:p>
      <w:pPr>
        <w:pStyle w:val="Normal"/>
        <w:rPr/>
      </w:pPr>
      <w:r>
        <w:rPr>
          <w:lang w:val="en-US"/>
        </w:rPr>
        <w:t>The KM3NeT Collaboration is currently building 2 large volume Cherenkov neutrino detectors in the Mediterranean sea. The KM3NeT-ARCA telescope will be located 100 km off-shore Sicily and will study the astrophysics of high-energy neutrinos. KM3NeT-ORCA, 40 km off-shore Toulon, France, will study neutrino oscillation phenomena with atmospheric neutrinos. In these detectors, particles are observed by catching their Cherenkov radiation with a 3-D array of PMTs placed at large depths. The majority of events are induced by muons produced by cosmic ray air-showers reaching large depths. Neutrinos are usually selected by searching for upward-going particles, using the whole Earth as a shield against the cosmic ray muons.</w:t>
      </w:r>
    </w:p>
    <w:p>
      <w:pPr>
        <w:pStyle w:val="Heading1"/>
        <w:rPr>
          <w:color w:val="000000"/>
        </w:rPr>
      </w:pPr>
      <w:r>
        <w:rPr>
          <w:rFonts w:eastAsia="Calibri" w:cs="Calibri" w:ascii="Calibri" w:hAnsi="Calibri"/>
          <w:color w:val="000000"/>
          <w:sz w:val="24"/>
          <w:szCs w:val="24"/>
        </w:rPr>
        <w:t>The Cherenkov Telescope Array (CTA) is the next generation ground-based observatory for gamma-ray astronomy at very-high energies. With more than 100 telescopes located in the northern and southern hemispheres, CTA will be the world’s largest and most sensitive high-energy gamma-ray observatory. This type of telescope focuses the Cherenkov light emitted from air showers, initiated by very-high-energy gamma rays and cosmic rays, onto the camera plane. Then, a fast camera digitizes the longitudinal development of the air shower, recording its spatial, temporal, and calorimetric information. The properties of the primary very-high-energy particle initiating the air shower can then be inferred from those images</w:t>
      </w:r>
    </w:p>
    <w:p>
      <w:pPr>
        <w:pStyle w:val="Heading1"/>
        <w:rPr/>
      </w:pPr>
      <w:r>
        <w:rPr>
          <w:rFonts w:eastAsia="Calibri" w:cs="Calibri" w:ascii="Calibri" w:hAnsi="Calibri"/>
          <w:color w:val="000000"/>
          <w:sz w:val="24"/>
          <w:szCs w:val="24"/>
        </w:rPr>
        <w:t>The characterization of both instruments heavily rely on determining the response of their corresponding hardware to different signals by means of Monte Carlo simulations. Common to both instruments stands the CORSIKA package, a program for detailed simulation of extensive air showers initiated by high energy cosmic ray particles.</w:t>
      </w:r>
    </w:p>
    <w:p>
      <w:pPr>
        <w:pStyle w:val="Heading1"/>
        <w:rPr>
          <w:rFonts w:ascii="Calibri" w:hAnsi="Calibri" w:eastAsia="Calibri" w:cs="Calibri"/>
          <w:color w:val="000000"/>
        </w:rPr>
      </w:pPr>
      <w:r>
        <w:rPr>
          <w:rFonts w:eastAsia="Calibri" w:cs="Calibri" w:ascii="Calibri" w:hAnsi="Calibri"/>
          <w:color w:val="000000"/>
        </w:rPr>
      </w:r>
    </w:p>
    <w:p>
      <w:pPr>
        <w:pStyle w:val="Heading1"/>
        <w:rPr/>
      </w:pPr>
      <w:r>
        <w:rPr>
          <w:lang w:val="en-US"/>
        </w:rPr>
        <w:t>The ConCORDIA project</w:t>
      </w:r>
    </w:p>
    <w:p>
      <w:pPr>
        <w:pStyle w:val="Normal"/>
        <w:jc w:val="both"/>
        <w:rPr>
          <w:i/>
          <w:i/>
          <w:lang w:val="en-US"/>
        </w:rPr>
      </w:pPr>
      <w:r>
        <w:rPr>
          <w:i/>
          <w:lang w:val="en-US"/>
        </w:rPr>
      </w:r>
    </w:p>
    <w:p>
      <w:pPr>
        <w:pStyle w:val="Normal"/>
        <w:jc w:val="both"/>
        <w:rPr/>
      </w:pPr>
      <w:r>
        <w:rPr>
          <w:b/>
          <w:bCs/>
          <w:lang w:val="en-US"/>
        </w:rPr>
        <w:t>ConCORDIA</w:t>
      </w:r>
      <w:r>
        <w:rPr>
          <w:lang w:val="en-US"/>
        </w:rPr>
        <w:t xml:space="preserve"> (</w:t>
      </w:r>
      <w:r>
        <w:rPr>
          <w:b/>
          <w:lang w:val="en-US"/>
        </w:rPr>
        <w:t>Con</w:t>
      </w:r>
      <w:r>
        <w:rPr>
          <w:lang w:val="en-US"/>
        </w:rPr>
        <w:t xml:space="preserve">tainers for </w:t>
      </w:r>
      <w:r>
        <w:rPr>
          <w:b/>
          <w:lang w:val="en-US"/>
        </w:rPr>
        <w:t>COR</w:t>
      </w:r>
      <w:r>
        <w:rPr>
          <w:lang w:val="en-US"/>
        </w:rPr>
        <w:t xml:space="preserve">SIKA on </w:t>
      </w:r>
      <w:r>
        <w:rPr>
          <w:b/>
          <w:lang w:val="en-US"/>
        </w:rPr>
        <w:t>DI</w:t>
      </w:r>
      <w:r>
        <w:rPr>
          <w:lang w:val="en-US"/>
        </w:rPr>
        <w:t>R</w:t>
      </w:r>
      <w:r>
        <w:rPr>
          <w:b/>
          <w:lang w:val="en-US"/>
        </w:rPr>
        <w:t>A</w:t>
      </w:r>
      <w:r>
        <w:rPr>
          <w:lang w:val="en-US"/>
        </w:rPr>
        <w:t>C) is a project developed within the scopes of the ESCAPE WP3 and represents one of the main subject of the FG5. Its goal is to provide the possibility of simulating cosmic ray air-showers with CORSIKA using the DIRAC GRID middleware for the job management. It has been developed by  (in alphabetical order)</w:t>
      </w:r>
    </w:p>
    <w:p>
      <w:pPr>
        <w:pStyle w:val="Normal"/>
        <w:jc w:val="both"/>
        <w:rPr>
          <w:lang w:val="en-US"/>
        </w:rPr>
      </w:pPr>
      <w:r>
        <w:rPr>
          <w:lang w:val="en-US"/>
        </w:rPr>
      </w:r>
    </w:p>
    <w:p>
      <w:pPr>
        <w:pStyle w:val="Normal"/>
        <w:jc w:val="both"/>
        <w:rPr/>
      </w:pPr>
      <w:r>
        <w:rPr>
          <w:lang w:val="en-US"/>
        </w:rPr>
        <w:t>C. Bozza (INFN and University of Salerno) – KM3NeT Collaboration</w:t>
      </w:r>
    </w:p>
    <w:p>
      <w:pPr>
        <w:pStyle w:val="Normal"/>
        <w:jc w:val="both"/>
        <w:rPr/>
      </w:pPr>
      <w:r>
        <w:rPr>
          <w:lang w:val="es-ES"/>
        </w:rPr>
        <w:t>J.L. Contreras (Universidad Complutense de Madrid) – CTA Observatory</w:t>
      </w:r>
    </w:p>
    <w:p>
      <w:pPr>
        <w:pStyle w:val="Normal"/>
        <w:jc w:val="both"/>
        <w:rPr/>
      </w:pPr>
      <w:r>
        <w:rPr>
          <w:lang w:val="en-US"/>
        </w:rPr>
        <w:t>L.A. Fusco (CNRS-CPPM, currently at University of Salerno) - KM3NeT Collaboration</w:t>
      </w:r>
    </w:p>
    <w:p>
      <w:pPr>
        <w:pStyle w:val="Normal"/>
        <w:jc w:val="both"/>
        <w:rPr/>
      </w:pPr>
      <w:r>
        <w:rPr>
          <w:lang w:val="es-ES"/>
        </w:rPr>
        <w:t>G. Hughes – CTA Observatory</w:t>
      </w:r>
    </w:p>
    <w:p>
      <w:pPr>
        <w:pStyle w:val="Normal"/>
        <w:jc w:val="both"/>
        <w:rPr/>
      </w:pPr>
      <w:r>
        <w:rPr>
          <w:lang w:val="es-ES"/>
        </w:rPr>
        <w:t>D. Nieto Castaño (Universidad Complutense de Madrid) – CTA Observatory</w:t>
      </w:r>
    </w:p>
    <w:p>
      <w:pPr>
        <w:pStyle w:val="Normal"/>
        <w:jc w:val="both"/>
        <w:rPr/>
      </w:pPr>
      <w:r>
        <w:rPr>
          <w:lang w:val="en-US"/>
        </w:rPr>
        <w:t>B. Spisso (INFN-Napoli) - KM3NeT Collaboration</w:t>
      </w:r>
    </w:p>
    <w:p>
      <w:pPr>
        <w:pStyle w:val="Normal"/>
        <w:jc w:val="both"/>
        <w:rPr/>
      </w:pPr>
      <w:r>
        <w:rPr>
          <w:lang w:val="en-US"/>
        </w:rPr>
        <w:t>M.S. Stellacci (University of Salerno) - KM3NeT Collaboration</w:t>
      </w:r>
    </w:p>
    <w:p>
      <w:pPr>
        <w:pStyle w:val="Normal"/>
        <w:jc w:val="both"/>
        <w:rPr/>
      </w:pPr>
      <w:r>
        <w:rPr>
          <w:lang w:val="en-US"/>
        </w:rPr>
        <w:t>A. Tsaregorodtsev (CNRS-CPPM) - DIRAC</w:t>
      </w:r>
    </w:p>
    <w:p>
      <w:pPr>
        <w:pStyle w:val="Normal"/>
        <w:jc w:val="both"/>
        <w:rPr/>
      </w:pPr>
      <w:r>
        <w:rPr>
          <w:lang w:val="en-US"/>
        </w:rPr>
        <w:t>D. Zito (INFN- LNS) - KM3NeT Collaboration</w:t>
      </w:r>
    </w:p>
    <w:p>
      <w:pPr>
        <w:pStyle w:val="Normal"/>
        <w:jc w:val="both"/>
        <w:rPr>
          <w:lang w:val="en-US"/>
        </w:rPr>
      </w:pPr>
      <w:r>
        <w:rPr>
          <w:lang w:val="en-US"/>
        </w:rPr>
      </w:r>
    </w:p>
    <w:p>
      <w:pPr>
        <w:pStyle w:val="Normal"/>
        <w:jc w:val="both"/>
        <w:rPr/>
      </w:pPr>
      <w:r>
        <w:rPr>
          <w:lang w:val="en-US"/>
        </w:rPr>
        <w:t>and with a duly cooperation between the KM3NeT and the CTAO participants to FG5.</w:t>
      </w:r>
    </w:p>
    <w:p>
      <w:pPr>
        <w:pStyle w:val="Normal"/>
        <w:jc w:val="both"/>
        <w:rPr/>
      </w:pPr>
      <w:r>
        <w:rPr>
          <w:lang w:val="en-US"/>
        </w:rPr>
        <w:t>It has two main consituents: a CORSIKA Containers library; a DIRAC Web App for CORSIKA.</w:t>
      </w:r>
    </w:p>
    <w:p>
      <w:pPr>
        <w:pStyle w:val="Normal"/>
        <w:jc w:val="both"/>
        <w:rPr>
          <w:lang w:val="en-US"/>
        </w:rPr>
      </w:pPr>
      <w:r>
        <w:rPr>
          <w:lang w:val="en-US"/>
        </w:rPr>
      </w:r>
    </w:p>
    <w:p>
      <w:pPr>
        <w:pStyle w:val="Normal"/>
        <w:jc w:val="both"/>
        <w:rPr>
          <w:lang w:val="en-US"/>
        </w:rPr>
      </w:pPr>
      <w:r>
        <w:rPr>
          <w:lang w:val="en-US"/>
        </w:rPr>
      </w:r>
    </w:p>
    <w:p>
      <w:pPr>
        <w:pStyle w:val="Heading1"/>
        <w:rPr/>
      </w:pPr>
      <w:r>
        <w:rPr>
          <w:lang w:val="en-US"/>
        </w:rPr>
        <w:t>The CORSIKA Containers library</w:t>
      </w:r>
    </w:p>
    <w:p>
      <w:pPr>
        <w:pStyle w:val="Normal"/>
        <w:jc w:val="both"/>
        <w:rPr>
          <w:i/>
          <w:i/>
          <w:lang w:val="en-US"/>
        </w:rPr>
      </w:pPr>
      <w:r>
        <w:rPr>
          <w:i/>
          <w:lang w:val="en-US"/>
        </w:rPr>
      </w:r>
    </w:p>
    <w:p>
      <w:pPr>
        <w:pStyle w:val="Normal"/>
        <w:jc w:val="both"/>
        <w:rPr/>
      </w:pPr>
      <w:r>
        <w:rPr>
          <w:lang w:val="en-US"/>
        </w:rPr>
        <w:t xml:space="preserve">A Java GUI has been developed to produce CORSIKA v7.7100 docker and singularity containers based on an </w:t>
      </w:r>
      <w:r>
        <w:rPr>
          <w:i/>
          <w:iCs/>
          <w:lang w:val="en-US"/>
        </w:rPr>
        <w:t xml:space="preserve">Alpine OS </w:t>
      </w:r>
      <w:r>
        <w:rPr>
          <w:lang w:val="en-US"/>
        </w:rPr>
        <w:t xml:space="preserve">linux distribution. Together with the GUI, also a </w:t>
      </w:r>
      <w:r>
        <w:rPr>
          <w:i/>
          <w:iCs/>
          <w:lang w:val="en-US"/>
        </w:rPr>
        <w:t xml:space="preserve">bash </w:t>
      </w:r>
      <w:r>
        <w:rPr>
          <w:lang w:val="en-US"/>
        </w:rPr>
        <w:t>script is provided to create the same containers (or any additional new container the user might need). A library of pre-built images has been created following some of the main possible required compilation options for CORSIKA</w:t>
      </w:r>
    </w:p>
    <w:p>
      <w:pPr>
        <w:pStyle w:val="Normal"/>
        <w:rPr>
          <w:lang w:val="en-US"/>
        </w:rPr>
      </w:pPr>
      <w:r>
        <w:rPr>
          <w:lang w:val="en-US"/>
        </w:rPr>
      </w:r>
    </w:p>
    <w:p>
      <w:pPr>
        <w:pStyle w:val="Heading2"/>
        <w:rPr>
          <w:lang w:val="en-US"/>
        </w:rPr>
      </w:pPr>
      <w:r>
        <w:rPr>
          <w:lang w:val="en-US"/>
        </w:rPr>
        <w:t>Developments</w:t>
      </w:r>
    </w:p>
    <w:p>
      <w:pPr>
        <w:pStyle w:val="Normal"/>
        <w:rPr>
          <w:lang w:val="en-US"/>
        </w:rPr>
      </w:pPr>
      <w:r>
        <w:rPr>
          <w:lang w:val="en-US"/>
        </w:rPr>
      </w:r>
    </w:p>
    <w:p>
      <w:pPr>
        <w:pStyle w:val="Normal"/>
        <w:rPr/>
      </w:pPr>
      <w:r>
        <w:rPr>
          <w:lang w:val="en-US"/>
        </w:rPr>
        <w:t xml:space="preserve">The development of the CONCORDIA project began with the creation of a Java GUI and a bash script interface for the creation of docker and singularity containers. Once this has been completed a set of containers has been released: these covered some of the possible configurations that could be useful in the simulation of extended air showers for detectors on the surface of the Earth or under-sea. Then, </w:t>
      </w:r>
      <w:r>
        <w:rPr>
          <w:color w:val="000000"/>
          <w:lang w:val="en-US"/>
        </w:rPr>
        <w:t xml:space="preserve">specifically for the CTA scopes, those images were tailored to mirror the same exact CORSIKA configuration used by the CTA Consortium for the most up-to-date massive Monte Carlo production by the time of the start of CONCORDIA (the so-called Production 4). </w:t>
      </w:r>
    </w:p>
    <w:p>
      <w:pPr>
        <w:pStyle w:val="Normal"/>
        <w:rPr>
          <w:b/>
          <w:b/>
          <w:bCs/>
          <w:color w:val="00A65D"/>
          <w:lang w:val="en-US"/>
        </w:rPr>
      </w:pPr>
      <w:r>
        <w:rPr>
          <w:b/>
          <w:bCs/>
          <w:color w:val="00A65D"/>
          <w:lang w:val="en-US"/>
        </w:rPr>
      </w:r>
    </w:p>
    <w:p>
      <w:pPr>
        <w:pStyle w:val="Normal"/>
        <w:rPr/>
      </w:pPr>
      <w:r>
        <w:rPr>
          <w:color w:val="000000"/>
          <w:lang w:val="en-US"/>
        </w:rPr>
        <w:t xml:space="preserve">In order to allow the processing of Monte Carlo simulations using these containers on GRID computing resources, a series of scripts have been prepared that allow the submission of jobs on the EGI resources using the DIRAC system. </w:t>
      </w:r>
      <w:r>
        <w:rPr>
          <w:i/>
          <w:iCs/>
          <w:color w:val="000000"/>
          <w:lang w:val="en-US"/>
        </w:rPr>
        <w:t>For the</w:t>
      </w:r>
      <w:r>
        <w:rPr>
          <w:b w:val="false"/>
          <w:bCs w:val="false"/>
          <w:i/>
          <w:iCs/>
          <w:color w:val="000000"/>
          <w:lang w:val="en-US"/>
        </w:rPr>
        <w:t xml:space="preserve"> CTAO the production is run on the CTA-specific DIRAC instance.</w:t>
      </w:r>
    </w:p>
    <w:p>
      <w:pPr>
        <w:pStyle w:val="Normal"/>
        <w:rPr>
          <w:lang w:val="en-US"/>
        </w:rPr>
      </w:pPr>
      <w:r>
        <w:rPr>
          <w:lang w:val="en-US"/>
        </w:rPr>
      </w:r>
    </w:p>
    <w:p>
      <w:pPr>
        <w:pStyle w:val="Normal"/>
        <w:rPr>
          <w:lang w:val="en-US"/>
        </w:rPr>
      </w:pPr>
      <w:r>
        <w:rPr>
          <w:lang w:val="en-US"/>
        </w:rPr>
        <w:t>The GUI for the generation of the containers has been eventually included in DIRAC together with a job launcher interface. Both will be made part of the DIRAC WebGUI in a specific DIRAC release to come.</w:t>
      </w:r>
    </w:p>
    <w:p>
      <w:pPr>
        <w:pStyle w:val="Normal"/>
        <w:rPr>
          <w:lang w:val="en-US"/>
        </w:rPr>
      </w:pPr>
      <w:r>
        <w:rPr>
          <w:lang w:val="en-US"/>
        </w:rPr>
      </w:r>
    </w:p>
    <w:p>
      <w:pPr>
        <w:pStyle w:val="Heading2"/>
        <w:rPr>
          <w:lang w:val="en-US"/>
        </w:rPr>
      </w:pPr>
      <w:r>
        <w:rPr>
          <w:lang w:val="en-US"/>
        </w:rPr>
        <w:t>Requirements and software dependencies</w:t>
      </w:r>
    </w:p>
    <w:p>
      <w:pPr>
        <w:pStyle w:val="Normal"/>
        <w:jc w:val="both"/>
        <w:rPr>
          <w:i/>
          <w:i/>
          <w:lang w:val="en-US"/>
        </w:rPr>
      </w:pPr>
      <w:r>
        <w:rPr>
          <w:i/>
          <w:lang w:val="en-US"/>
        </w:rPr>
      </w:r>
    </w:p>
    <w:p>
      <w:pPr>
        <w:pStyle w:val="Normal"/>
        <w:jc w:val="both"/>
        <w:rPr/>
      </w:pPr>
      <w:r>
        <w:rPr>
          <w:i/>
          <w:lang w:val="en-US"/>
        </w:rPr>
        <w:t>Singularity</w:t>
      </w:r>
      <w:r>
        <w:rPr>
          <w:lang w:val="en-US"/>
        </w:rPr>
        <w:t xml:space="preserve"> or </w:t>
      </w:r>
      <w:r>
        <w:rPr>
          <w:i/>
          <w:lang w:val="en-US"/>
        </w:rPr>
        <w:t>docker</w:t>
      </w:r>
      <w:r>
        <w:rPr>
          <w:lang w:val="en-US"/>
        </w:rPr>
        <w:t xml:space="preserve"> are required to build and run the containers. </w:t>
      </w:r>
    </w:p>
    <w:p>
      <w:pPr>
        <w:pStyle w:val="Normal"/>
        <w:jc w:val="both"/>
        <w:rPr>
          <w:color w:val="000000"/>
        </w:rPr>
      </w:pPr>
      <w:r>
        <w:rPr>
          <w:color w:val="000000"/>
          <w:lang w:val="en-US"/>
        </w:rPr>
        <w:t>For what concerns the ESAP integration, the current setup for ESAP required singularity containers. However, users deploying their own version of the ESAP and DIRAC instance can easily change this.</w:t>
      </w:r>
    </w:p>
    <w:p>
      <w:pPr>
        <w:pStyle w:val="Normal"/>
        <w:jc w:val="both"/>
        <w:rPr>
          <w:i/>
          <w:i/>
          <w:color w:val="000000"/>
          <w:lang w:val="en-US"/>
        </w:rPr>
      </w:pPr>
      <w:r>
        <w:rPr>
          <w:i/>
          <w:color w:val="000000"/>
          <w:lang w:val="en-US"/>
        </w:rPr>
      </w:r>
    </w:p>
    <w:p>
      <w:pPr>
        <w:pStyle w:val="Heading2"/>
        <w:rPr/>
      </w:pPr>
      <w:r>
        <w:rPr>
          <w:lang w:val="en-US"/>
        </w:rPr>
        <w:t xml:space="preserve">Workflow integration and Input/Output Data </w:t>
      </w:r>
    </w:p>
    <w:p>
      <w:pPr>
        <w:pStyle w:val="Heading2"/>
        <w:rPr>
          <w:lang w:val="en-US"/>
        </w:rPr>
      </w:pPr>
      <w:r>
        <w:rPr>
          <w:lang w:val="en-US"/>
        </w:rPr>
      </w:r>
    </w:p>
    <w:p>
      <w:pPr>
        <w:pStyle w:val="Normal"/>
        <w:jc w:val="both"/>
        <w:rPr/>
      </w:pPr>
      <w:r>
        <w:rPr>
          <w:lang w:val="en-US"/>
        </w:rPr>
        <w:t xml:space="preserve">The ConCORDIA containers library can be the first step of a DIRAC processing chain. The GUI for container creation is indeed also implemented in a DIRAC WebApp that will be made available in a future DIRAC release. Scripts for the DIRAC job submission are provided within the container library. The same containers can also be used, standalone, on any computing centre where singularity is available. </w:t>
      </w:r>
    </w:p>
    <w:p>
      <w:pPr>
        <w:pStyle w:val="Normal"/>
        <w:jc w:val="both"/>
        <w:rPr>
          <w:lang w:val="en-US"/>
        </w:rPr>
      </w:pPr>
      <w:r>
        <w:rPr>
          <w:lang w:val="en-US"/>
        </w:rPr>
      </w:r>
    </w:p>
    <w:p>
      <w:pPr>
        <w:pStyle w:val="Normal"/>
        <w:jc w:val="both"/>
        <w:rPr/>
      </w:pPr>
      <w:r>
        <w:rPr>
          <w:iCs/>
          <w:color w:val="000000"/>
          <w:lang w:val="en-US"/>
        </w:rPr>
        <w:t xml:space="preserve">With a correctly installed and configured ESAP it will be possible to launch ConCORDIA containers via the ESAP. The ESAP worker needs to be deployed on a system with a correctly configured DIRAC client. Instructions can be found on the ESAP documentation page, </w:t>
      </w:r>
      <w:hyperlink r:id="rId2">
        <w:r>
          <w:rPr>
            <w:rStyle w:val="InternetLink"/>
            <w:iCs/>
            <w:color w:val="000000"/>
            <w:lang w:val="en-US"/>
          </w:rPr>
          <w:t>here</w:t>
        </w:r>
      </w:hyperlink>
      <w:r>
        <w:rPr>
          <w:iCs/>
          <w:color w:val="000000"/>
          <w:lang w:val="en-US"/>
        </w:rPr>
        <w:t>. The user is required to create a correctly formatted json steering file and the location of a ConCORDIA singularity image.</w:t>
      </w:r>
    </w:p>
    <w:p>
      <w:pPr>
        <w:pStyle w:val="Normal"/>
        <w:jc w:val="both"/>
        <w:rPr>
          <w:i/>
          <w:i/>
          <w:lang w:val="en-US"/>
        </w:rPr>
      </w:pPr>
      <w:r>
        <w:rPr>
          <w:i/>
          <w:lang w:val="en-US"/>
        </w:rPr>
      </w:r>
    </w:p>
    <w:p>
      <w:pPr>
        <w:pStyle w:val="Normal"/>
        <w:jc w:val="both"/>
        <w:rPr>
          <w:i w:val="false"/>
          <w:i w:val="false"/>
          <w:iCs w:val="false"/>
        </w:rPr>
      </w:pPr>
      <w:r>
        <w:rPr>
          <w:i w:val="false"/>
          <w:iCs w:val="false"/>
          <w:lang w:val="en-US"/>
        </w:rPr>
        <w:t>A set of tests have been implemented to provide a benchmark of the perfomance of the container execution and of different options in the processing. In particular, the “IceCube” option for the generation of neutrinos in atmospheric cosmic rays interactions could be tested providing an estimation of the (significant) gain that can be obtained for most primary energies.</w:t>
      </w:r>
    </w:p>
    <w:p>
      <w:pPr>
        <w:pStyle w:val="Normal"/>
        <w:jc w:val="both"/>
        <w:rPr>
          <w:i/>
          <w:i/>
          <w:lang w:val="en-US"/>
        </w:rPr>
      </w:pPr>
      <w:r>
        <w:rPr>
          <w:i/>
          <w:lang w:val="en-US"/>
        </w:rPr>
      </w:r>
    </w:p>
    <w:p>
      <w:pPr>
        <w:pStyle w:val="Heading2"/>
        <w:rPr>
          <w:lang w:val="en-US"/>
        </w:rPr>
      </w:pPr>
      <w:r>
        <w:rPr>
          <w:lang w:val="en-US"/>
        </w:rPr>
        <w:t>User’s story</w:t>
      </w:r>
    </w:p>
    <w:p>
      <w:pPr>
        <w:pStyle w:val="Normal"/>
        <w:rPr>
          <w:i/>
          <w:i/>
          <w:lang w:val="en-US"/>
        </w:rPr>
      </w:pPr>
      <w:r>
        <w:rPr>
          <w:i/>
          <w:lang w:val="en-US"/>
        </w:rPr>
      </w:r>
    </w:p>
    <w:p>
      <w:pPr>
        <w:pStyle w:val="Normal"/>
        <w:rPr/>
      </w:pPr>
      <w:r>
        <w:rPr>
          <w:lang w:val="en-US"/>
        </w:rPr>
        <w:t>From the KM3NeT and CTAO communities, t</w:t>
      </w:r>
      <w:bookmarkStart w:id="0" w:name="__DdeLink__183_1363885461"/>
      <w:r>
        <w:rPr>
          <w:lang w:val="en-US"/>
        </w:rPr>
        <w:t>he containers can be used as first step of the Monte Carlo simulation chain. Containers are indeed a staple for the current data and Monte Carlo processing in the collaboration and these containers (or others, created with the tools developed in this project) are used to simulated in a reliable and reproducible way results across different computing centres.</w:t>
      </w:r>
      <w:bookmarkEnd w:id="0"/>
      <w:r>
        <w:rPr>
          <w:lang w:val="en-US"/>
        </w:rPr>
        <w:t xml:space="preserve"> The users can retrieve the containers or create new ones, according to their necessities. GRID jobs can be launched using the DIRAC interface.</w:t>
      </w:r>
    </w:p>
    <w:p>
      <w:pPr>
        <w:pStyle w:val="Normal"/>
        <w:rPr>
          <w:lang w:val="en-US"/>
        </w:rPr>
      </w:pPr>
      <w:r>
        <w:rPr>
          <w:lang w:val="en-US"/>
        </w:rPr>
      </w:r>
    </w:p>
    <w:p>
      <w:pPr>
        <w:pStyle w:val="Normal"/>
        <w:jc w:val="both"/>
        <w:rPr>
          <w:lang w:val="en-US"/>
        </w:rPr>
      </w:pPr>
      <w:r>
        <w:rPr>
          <w:lang w:val="en-US"/>
        </w:rPr>
      </w:r>
    </w:p>
    <w:p>
      <w:pPr>
        <w:pStyle w:val="Heading2"/>
        <w:rPr>
          <w:lang w:val="en-US"/>
        </w:rPr>
      </w:pPr>
      <w:r>
        <w:rPr>
          <w:sz w:val="32"/>
          <w:szCs w:val="32"/>
          <w:lang w:val="en-US"/>
        </w:rPr>
        <w:t>On-boarding</w:t>
      </w:r>
    </w:p>
    <w:p>
      <w:pPr>
        <w:pStyle w:val="Normal"/>
        <w:rPr>
          <w:i/>
          <w:i/>
        </w:rPr>
      </w:pPr>
      <w:r>
        <w:rPr>
          <w:i/>
        </w:rPr>
      </w:r>
    </w:p>
    <w:p>
      <w:pPr>
        <w:pStyle w:val="Normal"/>
        <w:jc w:val="both"/>
        <w:rPr/>
      </w:pPr>
      <w:r>
        <w:rPr>
          <w:lang w:val="en-US"/>
        </w:rPr>
        <w:t xml:space="preserve">Containers are stored at  </w:t>
      </w:r>
      <w:r>
        <w:rPr>
          <w:b/>
          <w:bCs/>
          <w:lang w:val="en-US"/>
        </w:rPr>
        <w:t>TO BE ADDED</w:t>
      </w:r>
    </w:p>
    <w:p>
      <w:pPr>
        <w:pStyle w:val="Normal"/>
        <w:jc w:val="both"/>
        <w:rPr/>
      </w:pPr>
      <w:r>
        <w:rPr>
          <w:lang w:val="en-US"/>
        </w:rPr>
        <w:t xml:space="preserve">and can be retrieved </w:t>
      </w:r>
      <w:r>
        <w:rPr>
          <w:b/>
          <w:bCs/>
          <w:lang w:val="en-US"/>
        </w:rPr>
        <w:t>TO BE DESCRIBED</w:t>
      </w:r>
      <w:r>
        <w:rPr>
          <w:lang w:val="en-US"/>
        </w:rPr>
        <w:t xml:space="preserve">. </w:t>
      </w:r>
    </w:p>
    <w:p>
      <w:pPr>
        <w:pStyle w:val="Normal"/>
        <w:jc w:val="both"/>
        <w:rPr>
          <w:lang w:val="en-US"/>
        </w:rPr>
      </w:pPr>
      <w:r>
        <w:rPr>
          <w:lang w:val="en-US"/>
        </w:rPr>
      </w:r>
    </w:p>
    <w:p>
      <w:pPr>
        <w:pStyle w:val="Normal"/>
        <w:jc w:val="both"/>
        <w:rPr/>
      </w:pPr>
      <w:r>
        <w:rPr>
          <w:lang w:val="en-US"/>
        </w:rPr>
        <w:t>The accompanying scripts for the creation of the containers are also available at</w:t>
      </w:r>
    </w:p>
    <w:p>
      <w:pPr>
        <w:pStyle w:val="Normal"/>
        <w:jc w:val="both"/>
        <w:rPr>
          <w:b/>
          <w:b/>
          <w:bCs/>
          <w:lang w:val="en-US"/>
        </w:rPr>
      </w:pPr>
      <w:r>
        <w:rPr>
          <w:b/>
          <w:bCs/>
          <w:lang w:val="en-US"/>
        </w:rPr>
        <w:t>TO BE ADDED</w:t>
      </w:r>
    </w:p>
    <w:p>
      <w:pPr>
        <w:pStyle w:val="Normal"/>
        <w:jc w:val="both"/>
        <w:rPr/>
      </w:pPr>
      <w:r>
        <w:rPr>
          <w:lang w:val="en-US"/>
        </w:rPr>
        <w:t xml:space="preserve">The Java GUI  </w:t>
      </w:r>
      <w:r>
        <w:rPr>
          <w:b/>
          <w:bCs/>
          <w:lang w:val="en-US"/>
        </w:rPr>
        <w:t>TO BE ADDED</w:t>
      </w:r>
    </w:p>
    <w:p>
      <w:pPr>
        <w:pStyle w:val="Normal"/>
        <w:jc w:val="both"/>
        <w:rPr>
          <w:lang w:val="en-US"/>
        </w:rPr>
      </w:pPr>
      <w:r>
        <w:rPr>
          <w:lang w:val="en-US"/>
        </w:rPr>
      </w:r>
    </w:p>
    <w:p>
      <w:pPr>
        <w:pStyle w:val="Normal"/>
        <w:jc w:val="both"/>
        <w:rPr/>
      </w:pPr>
      <w:r>
        <w:rPr>
          <w:lang w:val="en-US"/>
        </w:rPr>
        <w:t xml:space="preserve">The implementation in the DIRAC Web App is described </w:t>
      </w:r>
      <w:r>
        <w:rPr>
          <w:lang w:val="en-US"/>
        </w:rPr>
        <w:t>in a DIRAC release</w:t>
      </w:r>
      <w:r>
        <w:rPr>
          <w:lang w:val="en-US"/>
        </w:rPr>
        <w:t xml:space="preserve"> </w:t>
      </w:r>
      <w:r>
        <w:rPr>
          <w:b/>
          <w:bCs/>
          <w:lang w:val="en-US"/>
        </w:rPr>
        <w:t>TO BE ADDED</w:t>
      </w:r>
    </w:p>
    <w:p>
      <w:pPr>
        <w:pStyle w:val="Heading2"/>
        <w:rPr/>
      </w:pPr>
      <w:r>
        <w:rPr/>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40" w:type="dxa"/>
      <w:tblBorders/>
      <w:tblCellMar>
        <w:top w:w="0" w:type="dxa"/>
        <w:left w:w="70" w:type="dxa"/>
        <w:bottom w:w="0" w:type="dxa"/>
        <w:right w:w="70" w:type="dxa"/>
      </w:tblCellMar>
      <w:tblLook w:noVBand="0" w:val="0000" w:noHBand="0" w:lastColumn="0" w:firstColumn="0" w:lastRow="0" w:firstRow="0"/>
    </w:tblPr>
    <w:tblGrid>
      <w:gridCol w:w="7689"/>
      <w:gridCol w:w="1382"/>
    </w:tblGrid>
    <w:tr>
      <w:trPr>
        <w:trHeight w:val="311" w:hRule="atLeast"/>
      </w:trPr>
      <w:tc>
        <w:tcPr>
          <w:tcW w:w="7689" w:type="dxa"/>
          <w:tcBorders/>
          <w:shd w:fill="auto" w:val="clear"/>
          <w:vAlign w:val="center"/>
        </w:tcPr>
        <w:p>
          <w:pPr>
            <w:pStyle w:val="Header"/>
            <w:spacing w:before="60" w:after="60"/>
            <w:ind w:left="218" w:hanging="0"/>
            <w:jc w:val="right"/>
            <w:rPr>
              <w:rFonts w:cs="Arial"/>
            </w:rPr>
          </w:pPr>
          <w:r>
            <w:drawing>
              <wp:anchor behindDoc="1" distT="0" distB="9525" distL="114300" distR="114300" simplePos="0" locked="0" layoutInCell="1" allowOverlap="1" relativeHeight="5">
                <wp:simplePos x="0" y="0"/>
                <wp:positionH relativeFrom="column">
                  <wp:posOffset>-223520</wp:posOffset>
                </wp:positionH>
                <wp:positionV relativeFrom="paragraph">
                  <wp:posOffset>-211455</wp:posOffset>
                </wp:positionV>
                <wp:extent cx="955675" cy="676275"/>
                <wp:effectExtent l="0" t="0" r="0" b="0"/>
                <wp:wrapNone/>
                <wp:docPr id="1"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6" descr=""/>
                        <pic:cNvPicPr>
                          <a:picLocks noChangeAspect="1" noChangeArrowheads="1"/>
                        </pic:cNvPicPr>
                      </pic:nvPicPr>
                      <pic:blipFill>
                        <a:blip r:embed="rId1"/>
                        <a:stretch>
                          <a:fillRect/>
                        </a:stretch>
                      </pic:blipFill>
                      <pic:spPr bwMode="auto">
                        <a:xfrm>
                          <a:off x="0" y="0"/>
                          <a:ext cx="955675" cy="676275"/>
                        </a:xfrm>
                        <a:prstGeom prst="rect">
                          <a:avLst/>
                        </a:prstGeom>
                      </pic:spPr>
                    </pic:pic>
                  </a:graphicData>
                </a:graphic>
              </wp:anchor>
            </w:drawing>
          </w:r>
          <w:r>
            <w:rPr>
              <w:rFonts w:cs="Arial"/>
              <w:sz w:val="16"/>
            </w:rPr>
            <w:t xml:space="preserve"> </w:t>
          </w:r>
          <w:r>
            <w:rPr>
              <w:rFonts w:cs="Arial"/>
              <w:sz w:val="16"/>
            </w:rPr>
            <w:t>Project No</w:t>
          </w:r>
        </w:p>
      </w:tc>
      <w:tc>
        <w:tcPr>
          <w:tcW w:w="1382" w:type="dxa"/>
          <w:tcBorders/>
          <w:shd w:fill="auto" w:val="clear"/>
          <w:vAlign w:val="center"/>
        </w:tcPr>
        <w:p>
          <w:pPr>
            <w:pStyle w:val="Header"/>
            <w:spacing w:before="60" w:after="60"/>
            <w:ind w:right="-68" w:hanging="0"/>
            <w:rPr>
              <w:rFonts w:cs="Arial"/>
              <w:lang w:val="en-US"/>
            </w:rPr>
          </w:pPr>
          <w:r>
            <w:rPr>
              <w:rFonts w:cs="Arial"/>
              <w:sz w:val="16"/>
              <w:szCs w:val="16"/>
              <w:lang w:val="en-US"/>
            </w:rPr>
            <w:t>824064</w:t>
          </w:r>
        </w:p>
      </w:tc>
    </w:tr>
    <w:tr>
      <w:trPr>
        <w:trHeight w:val="149" w:hRule="atLeast"/>
      </w:trPr>
      <w:tc>
        <w:tcPr>
          <w:tcW w:w="7689" w:type="dxa"/>
          <w:tcBorders/>
          <w:shd w:fill="auto" w:val="clear"/>
          <w:vAlign w:val="center"/>
        </w:tcPr>
        <w:p>
          <w:pPr>
            <w:pStyle w:val="Header"/>
            <w:spacing w:before="60" w:after="60"/>
            <w:ind w:left="218" w:hanging="0"/>
            <w:jc w:val="right"/>
            <w:rPr>
              <w:rFonts w:cs="Arial"/>
            </w:rPr>
          </w:pPr>
          <w:r>
            <w:rPr>
              <w:rFonts w:cs="Arial"/>
              <w:sz w:val="16"/>
            </w:rPr>
            <w:t>Date</w:t>
          </w:r>
        </w:p>
      </w:tc>
      <w:tc>
        <w:tcPr>
          <w:tcW w:w="1382" w:type="dxa"/>
          <w:tcBorders/>
          <w:shd w:fill="auto" w:val="clear"/>
          <w:vAlign w:val="center"/>
        </w:tcPr>
        <w:p>
          <w:pPr>
            <w:pStyle w:val="Header"/>
            <w:spacing w:before="60" w:after="60"/>
            <w:ind w:right="-68" w:hanging="0"/>
            <w:rPr>
              <w:rFonts w:cs="Arial"/>
            </w:rPr>
          </w:pPr>
          <w:r>
            <w:rPr>
              <w:rFonts w:cs="Arial"/>
            </w:rPr>
          </w:r>
        </w:p>
      </w:tc>
    </w:tr>
    <w:tr>
      <w:trPr>
        <w:trHeight w:val="543" w:hRule="atLeast"/>
      </w:trPr>
      <w:tc>
        <w:tcPr>
          <w:tcW w:w="7689" w:type="dxa"/>
          <w:tcBorders>
            <w:top w:val="single" w:sz="4" w:space="0" w:color="C0C0C0"/>
            <w:bottom w:val="single" w:sz="4" w:space="0" w:color="C0C0C0"/>
            <w:insideH w:val="single" w:sz="4" w:space="0" w:color="C0C0C0"/>
          </w:tcBorders>
          <w:shd w:fill="auto" w:val="clear"/>
          <w:vAlign w:val="center"/>
        </w:tcPr>
        <w:p>
          <w:pPr>
            <w:pStyle w:val="Header"/>
            <w:spacing w:before="60" w:after="60"/>
            <w:rPr>
              <w:rFonts w:cs="Arial"/>
              <w:highlight w:val="yellow"/>
              <w:lang w:val="en-GB"/>
            </w:rPr>
          </w:pPr>
          <w:r>
            <w:rPr>
              <w:rFonts w:cs="Arial"/>
              <w:sz w:val="16"/>
              <w:lang w:val="en-GB"/>
            </w:rPr>
            <w:t>ESCAPE OSSR Onboarding Tech Report</w:t>
          </w:r>
        </w:p>
      </w:tc>
      <w:tc>
        <w:tcPr>
          <w:tcW w:w="1382" w:type="dxa"/>
          <w:tcBorders>
            <w:top w:val="single" w:sz="4" w:space="0" w:color="C0C0C0"/>
            <w:bottom w:val="single" w:sz="4" w:space="0" w:color="C0C0C0"/>
            <w:insideH w:val="single" w:sz="4" w:space="0" w:color="C0C0C0"/>
          </w:tcBorders>
          <w:shd w:fill="auto" w:val="clear"/>
          <w:vAlign w:val="center"/>
        </w:tcPr>
        <w:p>
          <w:pPr>
            <w:pStyle w:val="Header"/>
            <w:spacing w:before="60" w:after="60"/>
            <w:ind w:right="-68" w:hanging="0"/>
            <w:rPr>
              <w:rFonts w:cs="Arial"/>
              <w:highlight w:val="yellow"/>
            </w:rPr>
          </w:pPr>
          <w:r>
            <w:rPr>
              <w:rFonts w:cs="Arial"/>
              <w:highlight w:val="yellow"/>
            </w:rPr>
          </w:r>
        </w:p>
      </w:tc>
    </w:tr>
  </w:tbl>
  <w:p>
    <w:pPr>
      <w:pStyle w:val="Header"/>
      <w:tabs>
        <w:tab w:val="clear" w:pos="7143"/>
        <w:tab w:val="clear" w:pos="14287"/>
      </w:tabs>
      <w:rPr/>
    </w:pPr>
    <w:r>
      <w:rPr/>
    </w:r>
  </w:p>
</w:hdr>
</file>

<file path=word/settings.xml><?xml version="1.0" encoding="utf-8"?>
<w:settings xmlns:w="http://schemas.openxmlformats.org/wordprocessingml/2006/main">
  <w:zoom w:percent="11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Calibri"/>
      <w:color w:val="auto"/>
      <w:kern w:val="0"/>
      <w:sz w:val="24"/>
      <w:szCs w:val="24"/>
      <w:lang w:val="fr-FR" w:eastAsia="en-US" w:bidi="ar-SA"/>
    </w:rPr>
  </w:style>
  <w:style w:type="paragraph" w:styleId="Heading1">
    <w:name w:val="Heading 1"/>
    <w:basedOn w:val="Normal"/>
    <w:uiPriority w:val="9"/>
    <w:qFormat/>
    <w:pPr>
      <w:keepNext w:val="true"/>
      <w:keepLines/>
      <w:spacing w:before="240" w:after="0"/>
      <w:outlineLvl w:val="0"/>
    </w:pPr>
    <w:rPr>
      <w:rFonts w:ascii="Calibri Light" w:hAnsi="Calibri Light" w:eastAsia="Calibri Light" w:cs="Calibri Light"/>
      <w:color w:val="2F5496" w:themeColor="accent1" w:themeShade="bf"/>
      <w:sz w:val="32"/>
      <w:szCs w:val="32"/>
    </w:rPr>
  </w:style>
  <w:style w:type="paragraph" w:styleId="Heading2">
    <w:name w:val="Heading 2"/>
    <w:basedOn w:val="Normal"/>
    <w:uiPriority w:val="9"/>
    <w:unhideWhenUsed/>
    <w:qFormat/>
    <w:pPr>
      <w:keepNext w:val="true"/>
      <w:keepLines/>
      <w:spacing w:before="40" w:after="0"/>
      <w:outlineLvl w:val="1"/>
    </w:pPr>
    <w:rPr>
      <w:rFonts w:ascii="Calibri Light" w:hAnsi="Calibri Light" w:eastAsia="Calibri Light" w:cs="Calibri Light"/>
      <w:color w:val="2F5496" w:themeColor="accent1" w:themeShade="bf"/>
      <w:sz w:val="26"/>
      <w:szCs w:val="26"/>
    </w:rPr>
  </w:style>
  <w:style w:type="paragraph" w:styleId="Heading3">
    <w:name w:val="Heading 3"/>
    <w:basedOn w:val="Normal"/>
    <w:uiPriority w:val="9"/>
    <w:unhideWhenUsed/>
    <w:qFormat/>
    <w:pPr>
      <w:keepNext w:val="true"/>
      <w:keepLines/>
      <w:spacing w:before="200" w:after="0"/>
      <w:outlineLvl w:val="2"/>
    </w:pPr>
    <w:rPr>
      <w:rFonts w:ascii="Arial" w:hAnsi="Arial" w:eastAsia="Arial" w:cs="Arial"/>
      <w:b/>
      <w:bCs/>
      <w:i/>
      <w:iCs/>
      <w:color w:val="000000" w:themeColor="text1"/>
      <w:sz w:val="36"/>
      <w:szCs w:val="36"/>
    </w:rPr>
  </w:style>
  <w:style w:type="paragraph" w:styleId="Heading4">
    <w:name w:val="Heading 4"/>
    <w:basedOn w:val="Normal"/>
    <w:uiPriority w:val="9"/>
    <w:unhideWhenUsed/>
    <w:qFormat/>
    <w:pPr>
      <w:keepNext w:val="true"/>
      <w:keepLines/>
      <w:spacing w:before="200" w:after="0"/>
      <w:outlineLvl w:val="3"/>
    </w:pPr>
    <w:rPr>
      <w:rFonts w:ascii="Arial" w:hAnsi="Arial" w:eastAsia="Arial" w:cs="Arial"/>
      <w:color w:val="232323"/>
      <w:sz w:val="32"/>
      <w:szCs w:val="32"/>
    </w:rPr>
  </w:style>
  <w:style w:type="paragraph" w:styleId="Heading5">
    <w:name w:val="Heading 5"/>
    <w:basedOn w:val="Normal"/>
    <w:uiPriority w:val="9"/>
    <w:unhideWhenUsed/>
    <w:qFormat/>
    <w:pPr>
      <w:keepNext w:val="true"/>
      <w:keepLines/>
      <w:spacing w:before="200" w:after="0"/>
      <w:outlineLvl w:val="4"/>
    </w:pPr>
    <w:rPr>
      <w:rFonts w:ascii="Arial" w:hAnsi="Arial" w:eastAsia="Arial" w:cs="Arial"/>
      <w:b/>
      <w:bCs/>
      <w:color w:val="444444"/>
      <w:sz w:val="28"/>
      <w:szCs w:val="28"/>
    </w:rPr>
  </w:style>
  <w:style w:type="paragraph" w:styleId="Heading6">
    <w:name w:val="Heading 6"/>
    <w:basedOn w:val="Normal"/>
    <w:uiPriority w:val="9"/>
    <w:unhideWhenUsed/>
    <w:qFormat/>
    <w:pPr>
      <w:keepNext w:val="true"/>
      <w:keepLines/>
      <w:spacing w:before="200" w:after="0"/>
      <w:outlineLvl w:val="5"/>
    </w:pPr>
    <w:rPr>
      <w:rFonts w:ascii="Arial" w:hAnsi="Arial" w:eastAsia="Arial" w:cs="Arial"/>
      <w:i/>
      <w:iCs/>
      <w:color w:val="232323"/>
      <w:sz w:val="28"/>
      <w:szCs w:val="28"/>
    </w:rPr>
  </w:style>
  <w:style w:type="paragraph" w:styleId="Heading7">
    <w:name w:val="Heading 7"/>
    <w:basedOn w:val="Normal"/>
    <w:uiPriority w:val="9"/>
    <w:unhideWhenUsed/>
    <w:qFormat/>
    <w:pPr>
      <w:keepNext w:val="true"/>
      <w:keepLines/>
      <w:spacing w:before="200" w:after="0"/>
      <w:outlineLvl w:val="6"/>
    </w:pPr>
    <w:rPr>
      <w:rFonts w:ascii="Arial" w:hAnsi="Arial" w:eastAsia="Arial" w:cs="Arial"/>
      <w:b/>
      <w:bCs/>
      <w:color w:val="606060"/>
    </w:rPr>
  </w:style>
  <w:style w:type="paragraph" w:styleId="Heading8">
    <w:name w:val="Heading 8"/>
    <w:basedOn w:val="Normal"/>
    <w:uiPriority w:val="9"/>
    <w:unhideWhenUsed/>
    <w:qFormat/>
    <w:pPr>
      <w:keepNext w:val="true"/>
      <w:keepLines/>
      <w:spacing w:before="200" w:after="0"/>
      <w:outlineLvl w:val="7"/>
    </w:pPr>
    <w:rPr>
      <w:rFonts w:ascii="Arial" w:hAnsi="Arial" w:eastAsia="Arial" w:cs="Arial"/>
      <w:color w:val="444444"/>
    </w:rPr>
  </w:style>
  <w:style w:type="paragraph" w:styleId="Heading9">
    <w:name w:val="Heading 9"/>
    <w:basedOn w:val="Normal"/>
    <w:uiPriority w:val="9"/>
    <w:unhideWhenUsed/>
    <w:qFormat/>
    <w:pPr>
      <w:keepNext w:val="true"/>
      <w:keepLines/>
      <w:spacing w:before="200" w:after="0"/>
      <w:outlineLvl w:val="8"/>
    </w:pPr>
    <w:rPr>
      <w:rFonts w:ascii="Arial" w:hAnsi="Arial" w:eastAsia="Arial" w:cs="Arial"/>
      <w:i/>
      <w:iCs/>
      <w:color w:val="444444"/>
      <w:sz w:val="23"/>
      <w:szCs w:val="23"/>
    </w:rPr>
  </w:style>
  <w:style w:type="character" w:styleId="DefaultParagraphFont" w:default="1">
    <w:name w:val="Default Paragraph Font"/>
    <w:uiPriority w:val="1"/>
    <w:unhideWhenUsed/>
    <w:qFormat/>
    <w:rPr/>
  </w:style>
  <w:style w:type="character" w:styleId="FootnoteTextChar" w:customStyle="1">
    <w:name w:val="Footnote Text Char"/>
    <w:basedOn w:val="DefaultParagraphFont"/>
    <w:uiPriority w:val="99"/>
    <w:semiHidden/>
    <w:qFormat/>
    <w:rPr>
      <w:sz w:val="20"/>
    </w:rPr>
  </w:style>
  <w:style w:type="character" w:styleId="TitreCar" w:customStyle="1">
    <w:name w:val="Titre Car"/>
    <w:basedOn w:val="DefaultParagraphFont"/>
    <w:uiPriority w:val="10"/>
    <w:qFormat/>
    <w:rPr>
      <w:rFonts w:ascii="Calibri Light" w:hAnsi="Calibri Light" w:eastAsia="Calibri Light" w:cs="Calibri Light"/>
      <w:spacing w:val="-8"/>
      <w:sz w:val="56"/>
      <w:szCs w:val="56"/>
    </w:rPr>
  </w:style>
  <w:style w:type="character" w:styleId="SoustitreCar" w:customStyle="1">
    <w:name w:val="Sous-titre Car"/>
    <w:basedOn w:val="DefaultParagraphFont"/>
    <w:uiPriority w:val="11"/>
    <w:qFormat/>
    <w:rPr>
      <w:rFonts w:eastAsia="Calibri"/>
      <w:color w:val="5A5A5A" w:themeColor="text1" w:themeTint="a5"/>
      <w:spacing w:val="15"/>
      <w:sz w:val="22"/>
      <w:szCs w:val="22"/>
    </w:rPr>
  </w:style>
  <w:style w:type="character" w:styleId="Titre1Car" w:customStyle="1">
    <w:name w:val="Titre 1 Car"/>
    <w:basedOn w:val="DefaultParagraphFont"/>
    <w:uiPriority w:val="9"/>
    <w:qFormat/>
    <w:rPr>
      <w:rFonts w:ascii="Calibri Light" w:hAnsi="Calibri Light" w:eastAsia="Calibri Light" w:cs="Calibri Light"/>
      <w:color w:val="2F5496" w:themeColor="accent1" w:themeShade="bf"/>
      <w:sz w:val="32"/>
      <w:szCs w:val="32"/>
    </w:rPr>
  </w:style>
  <w:style w:type="character" w:styleId="Titre2Car" w:customStyle="1">
    <w:name w:val="Titre 2 Car"/>
    <w:basedOn w:val="DefaultParagraphFont"/>
    <w:uiPriority w:val="9"/>
    <w:qFormat/>
    <w:rPr>
      <w:rFonts w:ascii="Calibri Light" w:hAnsi="Calibri Light" w:eastAsia="Calibri Light" w:cs="Calibri Light"/>
      <w:color w:val="2F5496" w:themeColor="accent1" w:themeShade="bf"/>
      <w:sz w:val="26"/>
      <w:szCs w:val="26"/>
    </w:rPr>
  </w:style>
  <w:style w:type="character" w:styleId="NotedebasdepageCar" w:customStyle="1">
    <w:name w:val="Note de bas de page Car"/>
    <w:basedOn w:val="DefaultParagraphFont"/>
    <w:uiPriority w:val="99"/>
    <w:semiHidden/>
    <w:qFormat/>
    <w:rPr>
      <w:sz w:val="20"/>
      <w:szCs w:val="20"/>
    </w:rPr>
  </w:style>
  <w:style w:type="character" w:styleId="FootnoteCharacters" w:customStyle="1">
    <w:name w:val="Footnote Characters"/>
    <w:basedOn w:val="DefaultParagraphFont"/>
    <w:uiPriority w:val="99"/>
    <w:semiHidden/>
    <w:unhideWhenUsed/>
    <w:qFormat/>
    <w:rPr>
      <w:vertAlign w:val="superscript"/>
    </w:rPr>
  </w:style>
  <w:style w:type="character" w:styleId="FootnoteAnchor" w:customStyle="1">
    <w:name w:val="Footnote Anchor"/>
    <w:rPr>
      <w:vertAlign w:val="superscript"/>
    </w:rPr>
  </w:style>
  <w:style w:type="character" w:styleId="InternetLink" w:customStyle="1">
    <w:name w:val="Internet Link"/>
    <w:basedOn w:val="DefaultParagraphFont"/>
    <w:uiPriority w:val="99"/>
    <w:unhideWhenUsed/>
    <w:rPr>
      <w:color w:val="0563C1" w:themeColor="hyperlink"/>
      <w:u w:val="single"/>
    </w:rPr>
  </w:style>
  <w:style w:type="character" w:styleId="UnresolvedMention">
    <w:name w:val="Unresolved Mention"/>
    <w:basedOn w:val="DefaultParagraphFont"/>
    <w:uiPriority w:val="99"/>
    <w:qFormat/>
    <w:rPr>
      <w:color w:val="605E5C"/>
      <w:shd w:fill="E1DFDD" w:val="clear"/>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NotedefinCar" w:customStyle="1">
    <w:name w:val="Note de fin Car"/>
    <w:basedOn w:val="DefaultParagraphFont"/>
    <w:uiPriority w:val="99"/>
    <w:semiHidden/>
    <w:qFormat/>
    <w:rPr>
      <w:sz w:val="20"/>
      <w:szCs w:val="20"/>
    </w:rPr>
  </w:style>
  <w:style w:type="character" w:styleId="EndnoteCharacters" w:customStyle="1">
    <w:name w:val="Endnote Characters"/>
    <w:basedOn w:val="DefaultParagraphFont"/>
    <w:uiPriority w:val="99"/>
    <w:semiHidden/>
    <w:unhideWhenUsed/>
    <w:qFormat/>
    <w:rPr>
      <w:vertAlign w:val="superscript"/>
    </w:rPr>
  </w:style>
  <w:style w:type="character" w:styleId="EndnoteAnchor" w:customStyle="1">
    <w:name w:val="Endnote Anchor"/>
    <w:rPr>
      <w:vertAlign w:val="superscrip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color w:val="BFBFBF" w:themeColor="background1" w:themeShade="bf"/>
      <w:lang w:val="en-US"/>
    </w:rPr>
  </w:style>
  <w:style w:type="character" w:styleId="ListLabel5" w:customStyle="1">
    <w:name w:val="ListLabel 5"/>
    <w:qFormat/>
    <w:rPr>
      <w:iCs/>
      <w:lang w:val="en-US"/>
    </w:rPr>
  </w:style>
  <w:style w:type="character" w:styleId="ListLabel6" w:customStyle="1">
    <w:name w:val="ListLabel 6"/>
    <w:qFormat/>
    <w:rPr>
      <w:b w:val="false"/>
      <w:bCs w:val="false"/>
      <w:i w:val="false"/>
      <w:iCs/>
      <w:lang w:val="en-US"/>
    </w:rPr>
  </w:style>
  <w:style w:type="character" w:styleId="ListLabel7" w:customStyle="1">
    <w:name w:val="ListLabel 7"/>
    <w:qFormat/>
    <w:rPr>
      <w:b w:val="false"/>
      <w:bCs w:val="false"/>
      <w:i w:val="false"/>
      <w:iCs/>
      <w:lang w:val="en-US"/>
    </w:rPr>
  </w:style>
  <w:style w:type="character" w:styleId="ListLabel8">
    <w:name w:val="ListLabel 8"/>
    <w:qFormat/>
    <w:rPr>
      <w:iCs/>
      <w:lang w:val="en-US"/>
    </w:rPr>
  </w:style>
  <w:style w:type="character" w:styleId="ListLabel9">
    <w:name w:val="ListLabel 9"/>
    <w:qFormat/>
    <w:rPr>
      <w:iCs/>
      <w:color w:val="000000"/>
      <w:lang w:val="en-US"/>
    </w:rPr>
  </w:style>
  <w:style w:type="character" w:styleId="ListLabel10">
    <w:name w:val="ListLabel 10"/>
    <w:qFormat/>
    <w:rPr>
      <w:iCs/>
      <w:color w:val="000000"/>
      <w:lang w:val="en-US"/>
    </w:rPr>
  </w:style>
  <w:style w:type="character" w:styleId="ListLabel11">
    <w:name w:val="ListLabel 11"/>
    <w:qFormat/>
    <w:rPr>
      <w:iCs/>
      <w:color w:val="000000"/>
      <w:lang w:val="en-US"/>
    </w:rPr>
  </w:style>
  <w:style w:type="paragraph" w:styleId="Heading" w:customStyle="1">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uiPriority w:val="35"/>
    <w:unhideWhenUsed/>
    <w:qFormat/>
    <w:pPr>
      <w:spacing w:before="0" w:after="200"/>
    </w:pPr>
    <w:rPr>
      <w:i/>
      <w:iCs/>
      <w:color w:val="44546A" w:themeColor="text2"/>
      <w:sz w:val="18"/>
      <w:szCs w:val="18"/>
    </w:rPr>
  </w:style>
  <w:style w:type="paragraph" w:styleId="NoSpacing">
    <w:name w:val="No Spacing"/>
    <w:basedOn w:val="Normal"/>
    <w:uiPriority w:val="1"/>
    <w:qFormat/>
    <w:pPr/>
    <w:rPr>
      <w:color w:val="000000"/>
    </w:rPr>
  </w:style>
  <w:style w:type="paragraph" w:styleId="Quote">
    <w:name w:val="Quote"/>
    <w:basedOn w:val="Normal"/>
    <w:uiPriority w:val="29"/>
    <w:qFormat/>
    <w:pPr>
      <w:pBdr>
        <w:left w:val="single" w:sz="12" w:space="11" w:color="A6A6A6"/>
        <w:bottom w:val="single" w:sz="12" w:space="3" w:color="A6A6A6"/>
      </w:pBdr>
      <w:ind w:left="3402" w:hanging="0"/>
    </w:pPr>
    <w:rPr>
      <w:i/>
      <w:color w:val="373737"/>
      <w:sz w:val="18"/>
    </w:rPr>
  </w:style>
  <w:style w:type="paragraph" w:styleId="IntenseQuote">
    <w:name w:val="Intense Quote"/>
    <w:basedOn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hanging="0"/>
    </w:pPr>
    <w:rPr>
      <w:i/>
      <w:color w:val="606060"/>
      <w:sz w:val="19"/>
    </w:rPr>
  </w:style>
  <w:style w:type="paragraph" w:styleId="Header">
    <w:name w:val="Header"/>
    <w:basedOn w:val="Normal"/>
    <w:uiPriority w:val="99"/>
    <w:unhideWhenUsed/>
    <w:pPr>
      <w:tabs>
        <w:tab w:val="center" w:pos="7143" w:leader="none"/>
        <w:tab w:val="right" w:pos="14287" w:leader="none"/>
      </w:tabs>
    </w:pPr>
    <w:rPr>
      <w:color w:val="000000"/>
      <w:sz w:val="22"/>
    </w:rPr>
  </w:style>
  <w:style w:type="paragraph" w:styleId="Footer">
    <w:name w:val="Footer"/>
    <w:basedOn w:val="Normal"/>
    <w:uiPriority w:val="99"/>
    <w:unhideWhenUsed/>
    <w:pPr>
      <w:tabs>
        <w:tab w:val="center" w:pos="7143" w:leader="none"/>
        <w:tab w:val="right" w:pos="14287" w:leader="none"/>
      </w:tabs>
    </w:pPr>
    <w:rPr>
      <w:color w:val="000000"/>
      <w:sz w:val="22"/>
    </w:rPr>
  </w:style>
  <w:style w:type="paragraph" w:styleId="Title">
    <w:name w:val="Title"/>
    <w:basedOn w:val="Normal"/>
    <w:uiPriority w:val="10"/>
    <w:qFormat/>
    <w:pPr>
      <w:spacing w:before="0" w:after="0"/>
      <w:contextualSpacing/>
    </w:pPr>
    <w:rPr>
      <w:rFonts w:ascii="Calibri Light" w:hAnsi="Calibri Light" w:eastAsia="Calibri Light" w:cs="Calibri Light"/>
      <w:spacing w:val="-8"/>
      <w:sz w:val="56"/>
      <w:szCs w:val="56"/>
    </w:rPr>
  </w:style>
  <w:style w:type="paragraph" w:styleId="Subtitle">
    <w:name w:val="Subtitle"/>
    <w:basedOn w:val="Normal"/>
    <w:uiPriority w:val="11"/>
    <w:qFormat/>
    <w:pPr>
      <w:spacing w:before="0" w:after="160"/>
    </w:pPr>
    <w:rPr>
      <w:color w:val="5A5A5A" w:themeColor="text1" w:themeTint="a5"/>
      <w:spacing w:val="15"/>
      <w:sz w:val="22"/>
      <w:szCs w:val="22"/>
    </w:rPr>
  </w:style>
  <w:style w:type="paragraph" w:styleId="NormalWeb">
    <w:name w:val="Normal (Web)"/>
    <w:basedOn w:val="Normal"/>
    <w:uiPriority w:val="99"/>
    <w:semiHidden/>
    <w:unhideWhenUsed/>
    <w:qFormat/>
    <w:pPr>
      <w:spacing w:beforeAutospacing="1" w:afterAutospacing="1"/>
    </w:pPr>
    <w:rPr>
      <w:rFonts w:ascii="Times New Roman" w:hAnsi="Times New Roman" w:cs="Times New Roman"/>
      <w:lang w:eastAsia="fr-FR"/>
    </w:rPr>
  </w:style>
  <w:style w:type="paragraph" w:styleId="Footnote">
    <w:name w:val="Footnote Text"/>
    <w:basedOn w:val="Normal"/>
    <w:uiPriority w:val="99"/>
    <w:semiHidden/>
    <w:unhideWhenUsed/>
    <w:pPr/>
    <w:rPr>
      <w:sz w:val="20"/>
      <w:szCs w:val="20"/>
    </w:rPr>
  </w:style>
  <w:style w:type="paragraph" w:styleId="ListParagraph">
    <w:name w:val="List Paragraph"/>
    <w:basedOn w:val="Normal"/>
    <w:uiPriority w:val="34"/>
    <w:qFormat/>
    <w:pPr>
      <w:spacing w:before="0" w:after="0"/>
      <w:ind w:left="720" w:hanging="0"/>
      <w:contextualSpacing/>
    </w:pPr>
    <w:rPr>
      <w:rFonts w:ascii="Times New Roman" w:hAnsi="Times New Roman" w:eastAsia="Times New Roman" w:cs="Times New Roman"/>
      <w:lang w:eastAsia="fr-FR"/>
    </w:rPr>
  </w:style>
  <w:style w:type="paragraph" w:styleId="Endnote">
    <w:name w:val="Endnote Text"/>
    <w:basedOn w:val="Normal"/>
    <w:uiPriority w:val="99"/>
    <w:semiHidden/>
    <w:unhideWhenUsed/>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ned">
    <w:name w:val="Lined"/>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F2F2F2"/>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Lined-Accent1">
    <w:name w:val="Lined - Accent 1"/>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Lined-Accent2">
    <w:name w:val="Lined - Accent 2"/>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Lined-Accent3">
    <w:name w:val="Lined - Accent 3"/>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Lined-Accent4">
    <w:name w:val="Lined - Accent 4"/>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Lined-Accent5">
    <w:name w:val="Lined - Accent 5"/>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Lined-Accent6">
    <w:name w:val="Lined - Accent 6"/>
    <w:basedOn w:val="TableNormal"/>
    <w:uiPriority w:val="99"/>
    <w:rPr>
      <w:lang w:val="en-ES"/>
      <w:color w:val="404040"/>
      <w:szCs w:val="2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color w:val="404040"/>
        <w:sz w:val="22"/>
      </w:rPr>
      <w:tblPr/>
      <w:tcPr>
        <w:tcBorders>
          <w:bottom w:val="single" w:color="7F7F7F" w:sz="12" w:space="0"/>
        </w:tcBorders>
      </w:tcPr>
    </w:tblStylePr>
    <w:tblStylePr w:type="lastRow">
      <w:rPr>
        <w:color w:val="404040"/>
        <w:sz w:val="22"/>
      </w:rPr>
      <w:tblPr/>
      <w:tcPr>
        <w:tcBorders>
          <w:top w:val="single" w:color="7F7F7F" w:sz="12" w:space="0"/>
        </w:tcBorders>
      </w:tcPr>
    </w:tblStylePr>
    <w:tblStylePr w:type="firstCol">
      <w:rPr>
        <w:color w:val="404040"/>
        <w:sz w:val="22"/>
      </w:rPr>
      <w:tblPr/>
      <w:tcPr>
        <w:tcBorders>
          <w:right w:val="single" w:color="7F7F7F" w:sz="12" w:space="0"/>
        </w:tcBorders>
      </w:tcPr>
    </w:tblStylePr>
    <w:tblStylePr w:type="lastCol">
      <w:rPr>
        <w:color w:val="404040"/>
        <w:sz w:val="22"/>
      </w:rPr>
      <w:tblPr/>
      <w:tcPr>
        <w:tcBorders>
          <w:left w:val="single" w:color="7F7F7F" w:sz="12" w:space="0"/>
        </w:tcBorders>
      </w:tcPr>
    </w:tblStyle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customStyle="1" w:styleId="Bordered-Accent1">
    <w:name w:val="Bordered - Accent 1"/>
    <w:basedOn w:val="TableNormal"/>
    <w:uiPriority w:val="99"/>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color w:val="404040"/>
        <w:sz w:val="22"/>
      </w:rPr>
      <w:tblPr/>
      <w:tcPr>
        <w:tcBorders>
          <w:bottom w:val="single" w:color="4F81BD" w:sz="12" w:space="0"/>
        </w:tcBorders>
      </w:tcPr>
    </w:tblStylePr>
    <w:tblStylePr w:type="lastRow">
      <w:rPr>
        <w:color w:val="404040"/>
        <w:sz w:val="22"/>
      </w:rPr>
      <w:tblPr/>
      <w:tcPr>
        <w:tcBorders>
          <w:top w:val="single" w:color="4F81BD" w:sz="12" w:space="0"/>
        </w:tcBorders>
      </w:tcPr>
    </w:tblStylePr>
    <w:tblStylePr w:type="firstCol">
      <w:rPr>
        <w:color w:val="404040"/>
        <w:sz w:val="22"/>
      </w:rPr>
      <w:tblPr/>
      <w:tcPr>
        <w:tcBorders>
          <w:right w:val="single" w:color="4F81BD" w:sz="12" w:space="0"/>
        </w:tcBorders>
      </w:tcPr>
    </w:tblStylePr>
    <w:tblStylePr w:type="lastCol">
      <w:rPr>
        <w:color w:val="404040"/>
        <w:sz w:val="22"/>
      </w:rPr>
      <w:tblPr/>
      <w:tcPr>
        <w:tcBorders>
          <w:left w:val="single" w:color="4F81BD" w:sz="12" w:space="0"/>
        </w:tcBorders>
      </w:tcPr>
    </w:tblStylePr>
    <w:tblStylePr w:type="band1Horz">
      <w:rPr>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customStyle="1" w:styleId="Bordered-Accent2">
    <w:name w:val="Bordered - Accent 2"/>
    <w:basedOn w:val="TableNormal"/>
    <w:uiPriority w:val="99"/>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color w:val="404040"/>
        <w:sz w:val="22"/>
      </w:rPr>
      <w:tblPr/>
      <w:tcPr>
        <w:tcBorders>
          <w:bottom w:val="single" w:color="D99594" w:sz="12" w:space="0"/>
        </w:tcBorders>
      </w:tcPr>
    </w:tblStylePr>
    <w:tblStylePr w:type="lastRow">
      <w:rPr>
        <w:color w:val="404040"/>
        <w:sz w:val="22"/>
      </w:rPr>
      <w:tblPr/>
      <w:tcPr>
        <w:tcBorders>
          <w:top w:val="single" w:color="D99594" w:sz="12" w:space="0"/>
        </w:tcBorders>
      </w:tcPr>
    </w:tblStylePr>
    <w:tblStylePr w:type="firstCol">
      <w:rPr>
        <w:color w:val="404040"/>
        <w:sz w:val="22"/>
      </w:rPr>
      <w:tblPr/>
      <w:tcPr>
        <w:tcBorders>
          <w:right w:val="single" w:color="D99594" w:sz="12" w:space="0"/>
        </w:tcBorders>
      </w:tcPr>
    </w:tblStylePr>
    <w:tblStylePr w:type="lastCol">
      <w:rPr>
        <w:color w:val="404040"/>
        <w:sz w:val="22"/>
      </w:rPr>
      <w:tblPr/>
      <w:tcPr>
        <w:tcBorders>
          <w:left w:val="single" w:color="D99594" w:sz="12" w:space="0"/>
        </w:tcBorders>
      </w:tcPr>
    </w:tblStylePr>
    <w:tblStylePr w:type="band1Horz">
      <w:rPr>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customStyle="1" w:styleId="Bordered-Accent3">
    <w:name w:val="Bordered - Accent 3"/>
    <w:basedOn w:val="TableNormal"/>
    <w:uiPriority w:val="99"/>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color w:val="404040"/>
        <w:sz w:val="22"/>
      </w:rPr>
      <w:tblPr/>
      <w:tcPr>
        <w:tcBorders>
          <w:bottom w:val="single" w:color="C2D69B" w:sz="12" w:space="0"/>
        </w:tcBorders>
      </w:tcPr>
    </w:tblStylePr>
    <w:tblStylePr w:type="lastRow">
      <w:rPr>
        <w:color w:val="404040"/>
        <w:sz w:val="22"/>
      </w:rPr>
      <w:tblPr/>
      <w:tcPr>
        <w:tcBorders>
          <w:top w:val="single" w:color="C2D69B" w:sz="12" w:space="0"/>
        </w:tcBorders>
      </w:tcPr>
    </w:tblStylePr>
    <w:tblStylePr w:type="firstCol">
      <w:rPr>
        <w:color w:val="404040"/>
        <w:sz w:val="22"/>
      </w:rPr>
      <w:tblPr/>
      <w:tcPr>
        <w:tcBorders>
          <w:right w:val="single" w:color="C2D69B" w:sz="12" w:space="0"/>
        </w:tcBorders>
      </w:tcPr>
    </w:tblStylePr>
    <w:tblStylePr w:type="lastCol">
      <w:rPr>
        <w:color w:val="404040"/>
        <w:sz w:val="22"/>
      </w:rPr>
      <w:tblPr/>
      <w:tcPr>
        <w:tcBorders>
          <w:left w:val="single" w:color="C2D69B" w:sz="12" w:space="0"/>
        </w:tcBorders>
      </w:tcPr>
    </w:tblStylePr>
    <w:tblStylePr w:type="band1Horz">
      <w:rPr>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customStyle="1" w:styleId="Bordered-Accent4">
    <w:name w:val="Bordered - Accent 4"/>
    <w:basedOn w:val="TableNormal"/>
    <w:uiPriority w:val="99"/>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color w:val="404040"/>
        <w:sz w:val="22"/>
      </w:rPr>
      <w:tblPr/>
      <w:tcPr>
        <w:tcBorders>
          <w:bottom w:val="single" w:color="B2A1C7" w:sz="12" w:space="0"/>
        </w:tcBorders>
      </w:tcPr>
    </w:tblStylePr>
    <w:tblStylePr w:type="lastRow">
      <w:rPr>
        <w:color w:val="404040"/>
        <w:sz w:val="22"/>
      </w:rPr>
      <w:tblPr/>
      <w:tcPr>
        <w:tcBorders>
          <w:top w:val="single" w:color="B2A1C7" w:sz="12" w:space="0"/>
        </w:tcBorders>
      </w:tcPr>
    </w:tblStylePr>
    <w:tblStylePr w:type="firstCol">
      <w:rPr>
        <w:color w:val="404040"/>
        <w:sz w:val="22"/>
      </w:rPr>
      <w:tblPr/>
      <w:tcPr>
        <w:tcBorders>
          <w:right w:val="single" w:color="B2A1C7" w:sz="12" w:space="0"/>
        </w:tcBorders>
      </w:tcPr>
    </w:tblStylePr>
    <w:tblStylePr w:type="lastCol">
      <w:rPr>
        <w:color w:val="404040"/>
        <w:sz w:val="22"/>
      </w:rPr>
      <w:tblPr/>
      <w:tcPr>
        <w:tcBorders>
          <w:left w:val="single" w:color="B2A1C7" w:sz="12" w:space="0"/>
        </w:tcBorders>
      </w:tcPr>
    </w:tblStylePr>
    <w:tblStylePr w:type="band1Horz">
      <w:rPr>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customStyle="1" w:styleId="Bordered-Accent5">
    <w:name w:val="Bordered - Accent 5"/>
    <w:basedOn w:val="TableNormal"/>
    <w:uiPriority w:val="99"/>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color w:val="404040"/>
        <w:sz w:val="22"/>
      </w:rPr>
      <w:tblPr/>
      <w:tcPr>
        <w:tcBorders>
          <w:bottom w:val="single" w:color="92CDDC" w:sz="12" w:space="0"/>
        </w:tcBorders>
      </w:tcPr>
    </w:tblStylePr>
    <w:tblStylePr w:type="lastRow">
      <w:rPr>
        <w:color w:val="404040"/>
        <w:sz w:val="22"/>
      </w:rPr>
      <w:tblPr/>
      <w:tcPr>
        <w:tcBorders>
          <w:top w:val="single" w:color="92CDDC" w:sz="12" w:space="0"/>
        </w:tcBorders>
      </w:tcPr>
    </w:tblStylePr>
    <w:tblStylePr w:type="firstCol">
      <w:rPr>
        <w:color w:val="404040"/>
        <w:sz w:val="22"/>
      </w:rPr>
      <w:tblPr/>
      <w:tcPr>
        <w:tcBorders>
          <w:right w:val="single" w:color="92CDDC" w:sz="12" w:space="0"/>
        </w:tcBorders>
      </w:tcPr>
    </w:tblStylePr>
    <w:tblStylePr w:type="lastCol">
      <w:rPr>
        <w:color w:val="404040"/>
        <w:sz w:val="22"/>
      </w:rPr>
      <w:tblPr/>
      <w:tcPr>
        <w:tcBorders>
          <w:left w:val="single" w:color="92CDDC" w:sz="12" w:space="0"/>
        </w:tcBorders>
      </w:tcPr>
    </w:tblStyle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customStyle="1" w:styleId="Bordered-Accent6">
    <w:name w:val="Bordered - Accent 6"/>
    <w:basedOn w:val="TableNormal"/>
    <w:uiPriority w:val="99"/>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color w:val="404040"/>
        <w:sz w:val="22"/>
      </w:rPr>
      <w:tblPr/>
      <w:tcPr>
        <w:tcBorders>
          <w:bottom w:val="single" w:color="FABF8F" w:sz="12" w:space="0"/>
        </w:tcBorders>
      </w:tcPr>
    </w:tblStylePr>
    <w:tblStylePr w:type="lastRow">
      <w:rPr>
        <w:color w:val="404040"/>
        <w:sz w:val="22"/>
      </w:rPr>
      <w:tblPr/>
      <w:tcPr>
        <w:tcBorders>
          <w:top w:val="single" w:color="FABF8F" w:sz="12" w:space="0"/>
        </w:tcBorders>
      </w:tcPr>
    </w:tblStylePr>
    <w:tblStylePr w:type="firstCol">
      <w:rPr>
        <w:color w:val="404040"/>
        <w:sz w:val="22"/>
      </w:rPr>
      <w:tblPr/>
      <w:tcPr>
        <w:tcBorders>
          <w:right w:val="single" w:color="FABF8F" w:sz="12" w:space="0"/>
        </w:tcBorders>
      </w:tcPr>
    </w:tblStylePr>
    <w:tblStylePr w:type="lastCol">
      <w:rPr>
        <w:color w:val="404040"/>
        <w:sz w:val="22"/>
      </w:rPr>
      <w:tblPr/>
      <w:tcPr>
        <w:tcBorders>
          <w:left w:val="single" w:color="FABF8F" w:sz="12" w:space="0"/>
        </w:tcBorders>
      </w:tcPr>
    </w:tblStyle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customStyle="1" w:styleId="BorderedLined">
    <w:name w:val="Bordered &amp; Lined"/>
    <w:basedOn w:val="TableNormal"/>
    <w:uiPriority w:val="99"/>
    <w:rPr>
      <w:lang w:val="en-ES"/>
      <w:color w:val="404040"/>
      <w:szCs w:val="20"/>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Pr/>
    </w:tblStylePr>
    <w:tblStylePr w:type="band2Vert">
      <w:rPr>
        <w:color w:val="404040"/>
        <w:sz w:val="22"/>
      </w:rPr>
      <w:tblPr/>
      <w:tcPr>
        <w:shd w:val="clear" w:color="auto" w:fill="D9D9D9"/>
      </w:tcPr>
    </w:tblStylePr>
    <w:tblStylePr w:type="band1Horz">
      <w:rPr>
        <w:color w:val="404040"/>
        <w:sz w:val="22"/>
      </w:rPr>
      <w:tblPr/>
    </w:tblStylePr>
    <w:tblStylePr w:type="band2Horz">
      <w:rPr>
        <w:color w:val="404040"/>
        <w:sz w:val="22"/>
      </w:rPr>
      <w:tblPr/>
      <w:tcPr>
        <w:shd w:val="clear" w:color="auto" w:fill="F2F2F2"/>
      </w:tcPr>
    </w:tblStylePr>
  </w:style>
  <w:style w:type="table" w:customStyle="1" w:styleId="BorderedLined-Accent1">
    <w:name w:val="Bordered &amp; Lined - Accent 1"/>
    <w:basedOn w:val="TableNormal"/>
    <w:uiPriority w:val="99"/>
    <w:rPr>
      <w:lang w:val="en-ES"/>
      <w:color w:val="404040"/>
      <w:szCs w:val="20"/>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Pr/>
    </w:tblStylePr>
    <w:tblStylePr w:type="band2Vert">
      <w:rPr>
        <w:color w:val="404040"/>
        <w:sz w:val="22"/>
      </w:rPr>
      <w:tblPr/>
      <w:tcPr>
        <w:shd w:val="clear" w:color="auto" w:fill="C6D9F1"/>
      </w:tcPr>
    </w:tblStylePr>
    <w:tblStylePr w:type="band1Horz">
      <w:rPr>
        <w:color w:val="404040"/>
        <w:sz w:val="22"/>
      </w:rPr>
      <w:tblPr/>
    </w:tblStylePr>
    <w:tblStylePr w:type="band2Horz">
      <w:rPr>
        <w:color w:val="404040"/>
        <w:sz w:val="22"/>
      </w:rPr>
      <w:tblPr/>
      <w:tcPr>
        <w:shd w:val="clear" w:color="auto" w:fill="C6D9F1"/>
      </w:tcPr>
    </w:tblStylePr>
  </w:style>
  <w:style w:type="table" w:customStyle="1" w:styleId="BorderedLined-Accent2">
    <w:name w:val="Bordered &amp; Lined - Accent 2"/>
    <w:basedOn w:val="TableNormal"/>
    <w:uiPriority w:val="99"/>
    <w:rPr>
      <w:lang w:val="en-ES"/>
      <w:color w:val="404040"/>
      <w:szCs w:val="20"/>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Pr/>
    </w:tblStylePr>
    <w:tblStylePr w:type="band2Vert">
      <w:rPr>
        <w:color w:val="404040"/>
        <w:sz w:val="22"/>
      </w:rPr>
      <w:tblPr/>
      <w:tcPr>
        <w:shd w:val="clear" w:color="auto" w:fill="F2DBDB"/>
      </w:tcPr>
    </w:tblStylePr>
    <w:tblStylePr w:type="band1Horz">
      <w:rPr>
        <w:color w:val="404040"/>
        <w:sz w:val="22"/>
      </w:rPr>
      <w:tblPr/>
    </w:tblStylePr>
    <w:tblStylePr w:type="band2Horz">
      <w:rPr>
        <w:color w:val="404040"/>
        <w:sz w:val="22"/>
      </w:rPr>
      <w:tblPr/>
      <w:tcPr>
        <w:shd w:val="clear" w:color="auto" w:fill="F2DBDB"/>
      </w:tcPr>
    </w:tblStylePr>
  </w:style>
  <w:style w:type="table" w:customStyle="1" w:styleId="BorderedLined-Accent3">
    <w:name w:val="Bordered &amp; Lined - Accent 3"/>
    <w:basedOn w:val="TableNormal"/>
    <w:uiPriority w:val="99"/>
    <w:rPr>
      <w:lang w:val="en-ES"/>
      <w:color w:val="404040"/>
      <w:szCs w:val="20"/>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Pr/>
    </w:tblStylePr>
    <w:tblStylePr w:type="band2Vert">
      <w:rPr>
        <w:color w:val="404040"/>
        <w:sz w:val="22"/>
      </w:rPr>
      <w:tblPr/>
      <w:tcPr>
        <w:shd w:val="clear" w:color="auto" w:fill="EAF1DD"/>
      </w:tcPr>
    </w:tblStylePr>
    <w:tblStylePr w:type="band1Horz">
      <w:rPr>
        <w:color w:val="404040"/>
        <w:sz w:val="22"/>
      </w:rPr>
      <w:tblPr/>
    </w:tblStylePr>
    <w:tblStylePr w:type="band2Horz">
      <w:rPr>
        <w:color w:val="404040"/>
        <w:sz w:val="22"/>
      </w:rPr>
      <w:tblPr/>
      <w:tcPr>
        <w:shd w:val="clear" w:color="auto" w:fill="EAF1DD"/>
      </w:tcPr>
    </w:tblStylePr>
  </w:style>
  <w:style w:type="table" w:customStyle="1" w:styleId="BorderedLined-Accent4">
    <w:name w:val="Bordered &amp; Lined - Accent 4"/>
    <w:basedOn w:val="TableNormal"/>
    <w:uiPriority w:val="99"/>
    <w:rPr>
      <w:lang w:val="en-ES"/>
      <w:color w:val="404040"/>
      <w:szCs w:val="20"/>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Pr/>
    </w:tblStylePr>
    <w:tblStylePr w:type="band2Vert">
      <w:rPr>
        <w:color w:val="404040"/>
        <w:sz w:val="22"/>
      </w:rPr>
      <w:tblPr/>
      <w:tcPr>
        <w:shd w:val="clear" w:color="auto" w:fill="E5DFEC"/>
      </w:tcPr>
    </w:tblStylePr>
    <w:tblStylePr w:type="band1Horz">
      <w:rPr>
        <w:color w:val="404040"/>
        <w:sz w:val="22"/>
      </w:rPr>
      <w:tblPr/>
    </w:tblStylePr>
    <w:tblStylePr w:type="band2Horz">
      <w:rPr>
        <w:color w:val="404040"/>
        <w:sz w:val="22"/>
      </w:rPr>
      <w:tblPr/>
      <w:tcPr>
        <w:shd w:val="clear" w:color="auto" w:fill="E5DFEC"/>
      </w:tcPr>
    </w:tblStylePr>
  </w:style>
  <w:style w:type="table" w:customStyle="1" w:styleId="BorderedLined-Accent5">
    <w:name w:val="Bordered &amp; Lined - Accent 5"/>
    <w:basedOn w:val="TableNormal"/>
    <w:uiPriority w:val="99"/>
    <w:rPr>
      <w:lang w:val="en-ES"/>
      <w:color w:val="404040"/>
      <w:szCs w:val="20"/>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Pr/>
    </w:tblStylePr>
    <w:tblStylePr w:type="band2Vert">
      <w:rPr>
        <w:color w:val="404040"/>
        <w:sz w:val="22"/>
      </w:rPr>
      <w:tblPr/>
      <w:tcPr>
        <w:shd w:val="clear" w:color="auto" w:fill="DAEEF3"/>
      </w:tcPr>
    </w:tblStylePr>
    <w:tblStylePr w:type="band1Horz">
      <w:rPr>
        <w:color w:val="404040"/>
        <w:sz w:val="22"/>
      </w:rPr>
      <w:tblPr/>
    </w:tblStylePr>
    <w:tblStylePr w:type="band2Horz">
      <w:rPr>
        <w:color w:val="404040"/>
        <w:sz w:val="22"/>
      </w:rPr>
      <w:tblPr/>
      <w:tcPr>
        <w:shd w:val="clear" w:color="auto" w:fill="DAEEF3"/>
      </w:tcPr>
    </w:tblStylePr>
  </w:style>
  <w:style w:type="table" w:customStyle="1" w:styleId="BorderedLined-Accent6">
    <w:name w:val="Bordered &amp; Lined - Accent 6"/>
    <w:basedOn w:val="TableNormal"/>
    <w:uiPriority w:val="99"/>
    <w:rPr>
      <w:lang w:val="en-ES"/>
      <w:color w:val="404040"/>
      <w:szCs w:val="20"/>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Pr/>
    </w:tblStylePr>
    <w:tblStylePr w:type="band2Vert">
      <w:rPr>
        <w:color w:val="404040"/>
        <w:sz w:val="22"/>
      </w:rPr>
      <w:tblPr/>
      <w:tcPr>
        <w:shd w:val="clear" w:color="auto" w:fill="FDE9D9"/>
      </w:tcPr>
    </w:tblStylePr>
    <w:tblStylePr w:type="band1Horz">
      <w:rPr>
        <w:color w:val="404040"/>
        <w:sz w:val="22"/>
      </w:rPr>
      <w:tblPr/>
    </w:tblStylePr>
    <w:tblStylePr w:type="band2Horz">
      <w:rPr>
        <w:color w:val="404040"/>
        <w:sz w:val="22"/>
      </w:rPr>
      <w:tblPr/>
      <w:tcPr>
        <w:shd w:val="clear" w:color="auto" w:fill="FDE9D9"/>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astron.nl/astron-sdc/esap-api-gateway/-/wikis/ESAP-API-gateway-Overview"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LibreOffice/6.0.7.3$Linux_X86_64 LibreOffice_project/00m0$Build-3</Application>
  <Pages>4</Pages>
  <Words>1073</Words>
  <Characters>5827</Characters>
  <CharactersWithSpaces>6868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2022-11-14T11:32:00Z</dcterms:created>
  <dc:creator>DANIEL NIETO CASTAÑO</dc:creator>
  <dc:description/>
  <dc:language>en-US</dc:language>
  <cp:lastModifiedBy/>
  <dcterms:modified xsi:type="dcterms:W3CDTF">2022-12-01T11:07:28Z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