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487" w:rsidRPr="009C541F" w:rsidRDefault="00920EA4">
      <w:pPr>
        <w:pStyle w:val="Titre"/>
      </w:pPr>
      <w:r>
        <w:t>HGCROC</w:t>
      </w:r>
      <w:r w:rsidR="005B7273">
        <w:t>2</w:t>
      </w:r>
      <w:r>
        <w:t>: the front-end readout ASIC</w:t>
      </w:r>
      <w:r w:rsidR="005B7273">
        <w:t>s</w:t>
      </w:r>
      <w:r>
        <w:t xml:space="preserve"> for the CMS High Granularity Calorimeter</w:t>
      </w:r>
    </w:p>
    <w:p w:rsidR="009A0487" w:rsidRPr="00B8200A" w:rsidRDefault="00B8200A" w:rsidP="008B6D1E">
      <w:pPr>
        <w:pStyle w:val="Authors"/>
        <w:jc w:val="both"/>
        <w:rPr>
          <w:lang w:val="fr-FR"/>
        </w:rPr>
      </w:pPr>
      <w:r w:rsidRPr="00B8200A">
        <w:rPr>
          <w:vertAlign w:val="superscript"/>
          <w:lang w:val="fr-FR"/>
        </w:rPr>
        <w:t>2</w:t>
      </w:r>
      <w:r w:rsidRPr="00B8200A">
        <w:rPr>
          <w:lang w:val="fr-FR"/>
        </w:rPr>
        <w:t xml:space="preserve">F. </w:t>
      </w:r>
      <w:proofErr w:type="spellStart"/>
      <w:r w:rsidRPr="00B8200A">
        <w:rPr>
          <w:lang w:val="fr-FR"/>
        </w:rPr>
        <w:t>Bouyjou</w:t>
      </w:r>
      <w:proofErr w:type="spellEnd"/>
      <w:r w:rsidRPr="00B8200A">
        <w:rPr>
          <w:lang w:val="fr-FR"/>
        </w:rPr>
        <w:t xml:space="preserve">, </w:t>
      </w:r>
      <w:r w:rsidR="00865B3B" w:rsidRPr="00865B3B">
        <w:rPr>
          <w:vertAlign w:val="superscript"/>
          <w:lang w:val="fr-FR"/>
        </w:rPr>
        <w:t>4</w:t>
      </w:r>
      <w:r w:rsidR="00865B3B">
        <w:rPr>
          <w:lang w:val="fr-FR"/>
        </w:rPr>
        <w:t xml:space="preserve">G. </w:t>
      </w:r>
      <w:proofErr w:type="spellStart"/>
      <w:r w:rsidR="00865B3B">
        <w:rPr>
          <w:lang w:val="fr-FR"/>
        </w:rPr>
        <w:t>Bombardi</w:t>
      </w:r>
      <w:proofErr w:type="spellEnd"/>
      <w:r w:rsidR="00865B3B">
        <w:rPr>
          <w:lang w:val="fr-FR"/>
        </w:rPr>
        <w:t xml:space="preserve">, </w:t>
      </w:r>
      <w:r w:rsidRPr="00B8200A">
        <w:rPr>
          <w:vertAlign w:val="superscript"/>
          <w:lang w:val="fr-FR"/>
        </w:rPr>
        <w:t>1</w:t>
      </w:r>
      <w:r w:rsidRPr="00B8200A">
        <w:rPr>
          <w:lang w:val="fr-FR"/>
        </w:rPr>
        <w:t xml:space="preserve">P. </w:t>
      </w:r>
      <w:proofErr w:type="spellStart"/>
      <w:r w:rsidRPr="00B8200A">
        <w:rPr>
          <w:lang w:val="fr-FR"/>
        </w:rPr>
        <w:t>Dinaucourt</w:t>
      </w:r>
      <w:proofErr w:type="spellEnd"/>
      <w:r w:rsidRPr="00B8200A">
        <w:rPr>
          <w:lang w:val="fr-FR"/>
        </w:rPr>
        <w:t xml:space="preserve">, </w:t>
      </w:r>
      <w:r w:rsidRPr="00B8200A">
        <w:rPr>
          <w:vertAlign w:val="superscript"/>
          <w:lang w:val="fr-FR"/>
        </w:rPr>
        <w:t>1</w:t>
      </w:r>
      <w:r w:rsidRPr="00B8200A">
        <w:rPr>
          <w:lang w:val="fr-FR"/>
        </w:rPr>
        <w:t xml:space="preserve">F. </w:t>
      </w:r>
      <w:proofErr w:type="spellStart"/>
      <w:r w:rsidRPr="00B8200A">
        <w:rPr>
          <w:lang w:val="fr-FR"/>
        </w:rPr>
        <w:t>Dulucq</w:t>
      </w:r>
      <w:proofErr w:type="spellEnd"/>
      <w:r w:rsidRPr="00B8200A">
        <w:rPr>
          <w:lang w:val="fr-FR"/>
        </w:rPr>
        <w:t xml:space="preserve">, </w:t>
      </w:r>
      <w:r w:rsidRPr="00B8200A">
        <w:rPr>
          <w:vertAlign w:val="superscript"/>
          <w:lang w:val="fr-FR"/>
        </w:rPr>
        <w:t>1</w:t>
      </w:r>
      <w:r>
        <w:rPr>
          <w:lang w:val="fr-FR"/>
        </w:rPr>
        <w:t>M. El Berni,</w:t>
      </w:r>
      <w:r w:rsidR="008B6D1E">
        <w:rPr>
          <w:lang w:val="fr-FR"/>
        </w:rPr>
        <w:t xml:space="preserve"> </w:t>
      </w:r>
      <w:r w:rsidRPr="00B8200A">
        <w:rPr>
          <w:vertAlign w:val="superscript"/>
          <w:lang w:val="fr-FR"/>
        </w:rPr>
        <w:t>2</w:t>
      </w:r>
      <w:r w:rsidRPr="00B8200A">
        <w:rPr>
          <w:lang w:val="fr-FR"/>
        </w:rPr>
        <w:t xml:space="preserve">F. Guilloux, </w:t>
      </w:r>
      <w:r w:rsidRPr="00B8200A">
        <w:rPr>
          <w:vertAlign w:val="superscript"/>
          <w:lang w:val="fr-FR"/>
        </w:rPr>
        <w:t>3</w:t>
      </w:r>
      <w:r w:rsidRPr="00B8200A">
        <w:rPr>
          <w:lang w:val="fr-FR"/>
        </w:rPr>
        <w:t xml:space="preserve">M. </w:t>
      </w:r>
      <w:proofErr w:type="spellStart"/>
      <w:r w:rsidRPr="00B8200A">
        <w:rPr>
          <w:lang w:val="fr-FR"/>
        </w:rPr>
        <w:t>Idzik</w:t>
      </w:r>
      <w:proofErr w:type="spellEnd"/>
      <w:r w:rsidRPr="00B8200A">
        <w:rPr>
          <w:lang w:val="fr-FR"/>
        </w:rPr>
        <w:t xml:space="preserve">, </w:t>
      </w:r>
      <w:r w:rsidRPr="00B8200A">
        <w:rPr>
          <w:vertAlign w:val="superscript"/>
          <w:lang w:val="fr-FR"/>
        </w:rPr>
        <w:t>1</w:t>
      </w:r>
      <w:r w:rsidRPr="00B8200A">
        <w:rPr>
          <w:lang w:val="fr-FR"/>
        </w:rPr>
        <w:t xml:space="preserve">C. </w:t>
      </w:r>
      <w:proofErr w:type="gramStart"/>
      <w:r w:rsidRPr="00B8200A">
        <w:rPr>
          <w:lang w:val="fr-FR"/>
        </w:rPr>
        <w:t>de</w:t>
      </w:r>
      <w:proofErr w:type="gramEnd"/>
      <w:r w:rsidRPr="00B8200A">
        <w:rPr>
          <w:lang w:val="fr-FR"/>
        </w:rPr>
        <w:t xml:space="preserve"> La Taille, </w:t>
      </w:r>
      <w:r w:rsidRPr="00B8200A">
        <w:rPr>
          <w:vertAlign w:val="superscript"/>
          <w:lang w:val="fr-FR"/>
        </w:rPr>
        <w:t>4</w:t>
      </w:r>
      <w:r w:rsidRPr="00B8200A">
        <w:rPr>
          <w:lang w:val="fr-FR"/>
        </w:rPr>
        <w:t>A.</w:t>
      </w:r>
      <w:r>
        <w:rPr>
          <w:lang w:val="fr-FR"/>
        </w:rPr>
        <w:t xml:space="preserve"> </w:t>
      </w:r>
      <w:proofErr w:type="spellStart"/>
      <w:r>
        <w:rPr>
          <w:lang w:val="fr-FR"/>
        </w:rPr>
        <w:t>Marchioro</w:t>
      </w:r>
      <w:proofErr w:type="spellEnd"/>
      <w:r>
        <w:rPr>
          <w:lang w:val="fr-FR"/>
        </w:rPr>
        <w:t xml:space="preserve">, </w:t>
      </w:r>
      <w:r w:rsidRPr="00B8200A">
        <w:rPr>
          <w:vertAlign w:val="superscript"/>
          <w:lang w:val="fr-FR"/>
        </w:rPr>
        <w:t>3</w:t>
      </w:r>
      <w:r>
        <w:rPr>
          <w:lang w:val="fr-FR"/>
        </w:rPr>
        <w:t xml:space="preserve">J. Moron, </w:t>
      </w:r>
      <w:r w:rsidRPr="00B8200A">
        <w:rPr>
          <w:vertAlign w:val="superscript"/>
          <w:lang w:val="fr-FR"/>
        </w:rPr>
        <w:t>1</w:t>
      </w:r>
      <w:r>
        <w:rPr>
          <w:lang w:val="fr-FR"/>
        </w:rPr>
        <w:t xml:space="preserve">L. </w:t>
      </w:r>
      <w:proofErr w:type="spellStart"/>
      <w:r>
        <w:rPr>
          <w:lang w:val="fr-FR"/>
        </w:rPr>
        <w:t>Raux</w:t>
      </w:r>
      <w:proofErr w:type="spellEnd"/>
      <w:r>
        <w:rPr>
          <w:lang w:val="fr-FR"/>
        </w:rPr>
        <w:t>,</w:t>
      </w:r>
      <w:r w:rsidR="008B6D1E">
        <w:rPr>
          <w:lang w:val="fr-FR"/>
        </w:rPr>
        <w:t xml:space="preserve"> </w:t>
      </w:r>
      <w:r w:rsidRPr="00B8200A">
        <w:rPr>
          <w:vertAlign w:val="superscript"/>
          <w:lang w:val="fr-FR"/>
        </w:rPr>
        <w:t>1</w:t>
      </w:r>
      <w:r w:rsidRPr="00B8200A">
        <w:rPr>
          <w:lang w:val="fr-FR"/>
        </w:rPr>
        <w:t>D. Thienpont</w:t>
      </w:r>
      <w:r w:rsidR="00865B3B">
        <w:rPr>
          <w:lang w:val="fr-FR"/>
        </w:rPr>
        <w:t xml:space="preserve">, </w:t>
      </w:r>
      <w:r w:rsidR="008B6D1E">
        <w:rPr>
          <w:lang w:val="fr-FR"/>
        </w:rPr>
        <w:t xml:space="preserve">   </w:t>
      </w:r>
      <w:r w:rsidR="00865B3B" w:rsidRPr="00865B3B">
        <w:rPr>
          <w:vertAlign w:val="superscript"/>
          <w:lang w:val="fr-FR"/>
        </w:rPr>
        <w:t>4</w:t>
      </w:r>
      <w:r w:rsidR="00865B3B">
        <w:rPr>
          <w:lang w:val="fr-FR"/>
        </w:rPr>
        <w:t xml:space="preserve">T. </w:t>
      </w:r>
      <w:proofErr w:type="spellStart"/>
      <w:r w:rsidR="00865B3B">
        <w:rPr>
          <w:lang w:val="fr-FR"/>
        </w:rPr>
        <w:t>Vergine</w:t>
      </w:r>
      <w:proofErr w:type="spellEnd"/>
    </w:p>
    <w:p w:rsidR="006862AE" w:rsidRPr="006862AE" w:rsidRDefault="006862AE" w:rsidP="006862AE">
      <w:pPr>
        <w:pStyle w:val="E-mail"/>
        <w:rPr>
          <w:lang w:val="fr-FR"/>
        </w:rPr>
      </w:pPr>
      <w:r w:rsidRPr="006862AE">
        <w:rPr>
          <w:vertAlign w:val="superscript"/>
          <w:lang w:val="fr-FR"/>
        </w:rPr>
        <w:t>1</w:t>
      </w:r>
      <w:r w:rsidR="008007E9">
        <w:rPr>
          <w:lang w:val="fr-FR"/>
        </w:rPr>
        <w:t>OMEGA/CNRS/Ecole Polytechnique</w:t>
      </w:r>
      <w:r w:rsidR="00B8200A" w:rsidRPr="006862AE">
        <w:rPr>
          <w:lang w:val="fr-FR"/>
        </w:rPr>
        <w:t xml:space="preserve">, </w:t>
      </w:r>
      <w:r w:rsidR="008007E9">
        <w:rPr>
          <w:lang w:val="fr-FR"/>
        </w:rPr>
        <w:t>bât. 404, route de Saclay, 91128 Palaiseau, France</w:t>
      </w:r>
    </w:p>
    <w:p w:rsidR="006862AE" w:rsidRPr="008007E9" w:rsidRDefault="006862AE" w:rsidP="006862AE">
      <w:pPr>
        <w:pStyle w:val="E-mail"/>
        <w:rPr>
          <w:lang w:val="fr-FR"/>
        </w:rPr>
      </w:pPr>
      <w:r w:rsidRPr="008007E9">
        <w:rPr>
          <w:vertAlign w:val="superscript"/>
          <w:lang w:val="fr-FR"/>
        </w:rPr>
        <w:t>2</w:t>
      </w:r>
      <w:r w:rsidRPr="008007E9">
        <w:rPr>
          <w:lang w:val="fr-FR"/>
        </w:rPr>
        <w:t>CEA-IRFU,</w:t>
      </w:r>
      <w:r w:rsidR="008007E9">
        <w:rPr>
          <w:lang w:val="fr-FR"/>
        </w:rPr>
        <w:t xml:space="preserve"> Site CEA de Saclay, 91191 Gif-sur-Yvette, France</w:t>
      </w:r>
    </w:p>
    <w:p w:rsidR="006862AE" w:rsidRPr="00F9686F" w:rsidRDefault="006862AE" w:rsidP="006862AE">
      <w:pPr>
        <w:pStyle w:val="E-mail"/>
        <w:rPr>
          <w:lang w:val="en-GB"/>
        </w:rPr>
      </w:pPr>
      <w:r w:rsidRPr="00F9686F">
        <w:rPr>
          <w:vertAlign w:val="superscript"/>
          <w:lang w:val="en-GB"/>
        </w:rPr>
        <w:t>3</w:t>
      </w:r>
      <w:r w:rsidRPr="00F9686F">
        <w:rPr>
          <w:lang w:val="en-GB"/>
        </w:rPr>
        <w:t>AG</w:t>
      </w:r>
      <w:r w:rsidR="008007E9">
        <w:rPr>
          <w:lang w:val="en-GB"/>
        </w:rPr>
        <w:t>H</w:t>
      </w:r>
      <w:r w:rsidRPr="00F9686F">
        <w:rPr>
          <w:lang w:val="en-GB"/>
        </w:rPr>
        <w:t xml:space="preserve"> </w:t>
      </w:r>
      <w:r w:rsidR="008007E9">
        <w:rPr>
          <w:lang w:val="en-GB"/>
        </w:rPr>
        <w:t>University of Science and Technology, al. Mickiewicza 30, 30-059 Krakow, Poland</w:t>
      </w:r>
    </w:p>
    <w:p w:rsidR="00006EA6" w:rsidRPr="008B6D1E" w:rsidRDefault="006862AE" w:rsidP="006862AE">
      <w:pPr>
        <w:pStyle w:val="E-mail"/>
        <w:rPr>
          <w:lang w:val="en-GB"/>
        </w:rPr>
      </w:pPr>
      <w:r w:rsidRPr="008B6D1E">
        <w:rPr>
          <w:vertAlign w:val="superscript"/>
          <w:lang w:val="en-GB"/>
        </w:rPr>
        <w:t>4</w:t>
      </w:r>
      <w:r w:rsidRPr="008B6D1E">
        <w:rPr>
          <w:lang w:val="en-GB"/>
        </w:rPr>
        <w:t>CERN ,</w:t>
      </w:r>
      <w:r w:rsidR="008007E9" w:rsidRPr="008B6D1E">
        <w:rPr>
          <w:lang w:val="en-GB"/>
        </w:rPr>
        <w:t xml:space="preserve"> Esplanade des Particules 1, 1217 Meyrin, Switzerland</w:t>
      </w:r>
    </w:p>
    <w:p w:rsidR="009A0487" w:rsidRPr="006862AE" w:rsidRDefault="006862AE">
      <w:pPr>
        <w:pStyle w:val="E-mail"/>
        <w:rPr>
          <w:lang w:val="en-GB"/>
        </w:rPr>
      </w:pPr>
      <w:r w:rsidRPr="006862AE">
        <w:rPr>
          <w:lang w:val="en-GB"/>
        </w:rPr>
        <w:t xml:space="preserve">E-mails: </w:t>
      </w:r>
      <w:r w:rsidRPr="006862AE">
        <w:rPr>
          <w:vertAlign w:val="superscript"/>
          <w:lang w:val="en-GB"/>
        </w:rPr>
        <w:t>1</w:t>
      </w:r>
      <w:r w:rsidRPr="006862AE">
        <w:rPr>
          <w:lang w:val="en-GB"/>
        </w:rPr>
        <w:t>damien.thienpont@in2p3.fr</w:t>
      </w:r>
    </w:p>
    <w:p w:rsidR="009A0487" w:rsidRDefault="009A0487">
      <w:pPr>
        <w:pStyle w:val="Abstract"/>
      </w:pPr>
      <w:r>
        <w:rPr>
          <w:b/>
        </w:rPr>
        <w:t>Abstract</w:t>
      </w:r>
      <w:r w:rsidR="006862AE">
        <w:t xml:space="preserve">. </w:t>
      </w:r>
      <w:r w:rsidR="006862AE" w:rsidRPr="006862AE">
        <w:t>The CMS High-Granularity Calorimeter (HGCAL) imposes extremely challenging specifications for the front-end electronics: high dynamic range, low noise, high-precision time information and low power consumption, as well as the need to select and transmit trigger information with a high transverse and lo</w:t>
      </w:r>
      <w:r w:rsidR="006862AE">
        <w:t>ngitudinal granularity. HGCROC</w:t>
      </w:r>
      <w:r w:rsidR="006862AE" w:rsidRPr="006862AE">
        <w:t>2</w:t>
      </w:r>
      <w:r w:rsidR="004C6937">
        <w:t xml:space="preserve"> is the second prototype of the readout chip embedding almost all the final functionalities. It</w:t>
      </w:r>
      <w:r w:rsidR="006862AE" w:rsidRPr="006862AE">
        <w:t xml:space="preserve"> has 72 channels of the full </w:t>
      </w:r>
      <w:proofErr w:type="spellStart"/>
      <w:r w:rsidR="006862AE" w:rsidRPr="006862AE">
        <w:t>analog</w:t>
      </w:r>
      <w:proofErr w:type="spellEnd"/>
      <w:r w:rsidR="006862AE" w:rsidRPr="006862AE">
        <w:t xml:space="preserve"> chain: low noise and high gain preamplifier and shape</w:t>
      </w:r>
      <w:r w:rsidR="00865B3B">
        <w:t>rs, a 10-bit 40 MHz SAR-ADC</w:t>
      </w:r>
      <w:r w:rsidR="006862AE" w:rsidRPr="006862AE">
        <w:t xml:space="preserve"> which provides the charge measurement over the l</w:t>
      </w:r>
      <w:r w:rsidR="00865B3B">
        <w:t>inear range of the preamplifier, after</w:t>
      </w:r>
      <w:r w:rsidR="006862AE" w:rsidRPr="006862AE">
        <w:t xml:space="preserve"> the </w:t>
      </w:r>
      <w:r w:rsidR="00865B3B">
        <w:t>preamplifier saturation</w:t>
      </w:r>
      <w:r w:rsidR="006862AE" w:rsidRPr="006862AE">
        <w:t xml:space="preserve"> a discriminator and TDC provid</w:t>
      </w:r>
      <w:r w:rsidR="004C6937">
        <w:t xml:space="preserve">e the charge information from </w:t>
      </w:r>
      <w:proofErr w:type="spellStart"/>
      <w:r w:rsidR="004C6937">
        <w:t>To</w:t>
      </w:r>
      <w:r w:rsidR="006862AE" w:rsidRPr="006862AE">
        <w:t>T</w:t>
      </w:r>
      <w:proofErr w:type="spellEnd"/>
      <w:r w:rsidR="006862AE" w:rsidRPr="006862AE">
        <w:t xml:space="preserve"> (200 ns d</w:t>
      </w:r>
      <w:r w:rsidR="00865B3B">
        <w:t xml:space="preserve">ynamic range and 50 </w:t>
      </w:r>
      <w:proofErr w:type="spellStart"/>
      <w:r w:rsidR="00865B3B">
        <w:t>ps</w:t>
      </w:r>
      <w:proofErr w:type="spellEnd"/>
      <w:r w:rsidR="00865B3B">
        <w:t xml:space="preserve"> binning), and a</w:t>
      </w:r>
      <w:r w:rsidR="006862AE" w:rsidRPr="006862AE">
        <w:t xml:space="preserve"> fast discriminator and TDC provide timing information to 25 </w:t>
      </w:r>
      <w:proofErr w:type="spellStart"/>
      <w:r w:rsidR="006862AE" w:rsidRPr="006862AE">
        <w:t>ps</w:t>
      </w:r>
      <w:proofErr w:type="spellEnd"/>
      <w:r w:rsidR="006862AE" w:rsidRPr="006862AE">
        <w:t xml:space="preserve"> accuracy. </w:t>
      </w:r>
      <w:r w:rsidR="006862AE">
        <w:t>This paper</w:t>
      </w:r>
      <w:r w:rsidR="006862AE" w:rsidRPr="006862AE">
        <w:t xml:space="preserve"> report</w:t>
      </w:r>
      <w:r w:rsidR="006862AE">
        <w:t>s</w:t>
      </w:r>
      <w:r w:rsidR="006862AE" w:rsidRPr="006862AE">
        <w:t xml:space="preserve"> on the performance in terms of noise, charge and timing, the DAQ and Trigger paths, as well as results from radiation qualification with total ionizing dose (TID) and heavy ions for single-event effects (SEE).</w:t>
      </w:r>
    </w:p>
    <w:p w:rsidR="009A0487" w:rsidRDefault="00F9686F" w:rsidP="00FA1E5A">
      <w:pPr>
        <w:pStyle w:val="titre10"/>
      </w:pPr>
      <w:r>
        <w:t>Introduction</w:t>
      </w:r>
    </w:p>
    <w:p w:rsidR="00597D9F" w:rsidRPr="009206F4" w:rsidRDefault="00F9686F" w:rsidP="009206F4">
      <w:pPr>
        <w:pStyle w:val="Bodytext"/>
        <w:rPr>
          <w:lang w:val="en-GB"/>
        </w:rPr>
      </w:pPr>
      <w:r>
        <w:rPr>
          <w:lang w:val="en-GB"/>
        </w:rPr>
        <w:t xml:space="preserve">The High Granularity Calorimeter (HGCAL) [1], presently being designed by the Compact </w:t>
      </w:r>
      <w:proofErr w:type="spellStart"/>
      <w:r>
        <w:rPr>
          <w:lang w:val="en-GB"/>
        </w:rPr>
        <w:t>Muon</w:t>
      </w:r>
      <w:proofErr w:type="spellEnd"/>
      <w:r>
        <w:rPr>
          <w:lang w:val="en-GB"/>
        </w:rPr>
        <w:t xml:space="preserve"> Solenoid collaboration (CMS) to replace the existing </w:t>
      </w:r>
      <w:proofErr w:type="spellStart"/>
      <w:r>
        <w:rPr>
          <w:lang w:val="en-GB"/>
        </w:rPr>
        <w:t>endcap</w:t>
      </w:r>
      <w:proofErr w:type="spellEnd"/>
      <w:r>
        <w:rPr>
          <w:lang w:val="en-GB"/>
        </w:rPr>
        <w:t xml:space="preserve"> calorimeters for the High Luminosity phase of the LHC (HL-LHC), will feature unprecedented transverse and longitudinal readout and triggering segmentation for both electromagnetic and </w:t>
      </w:r>
      <w:proofErr w:type="spellStart"/>
      <w:r>
        <w:rPr>
          <w:lang w:val="en-GB"/>
        </w:rPr>
        <w:t>hadronic</w:t>
      </w:r>
      <w:proofErr w:type="spellEnd"/>
      <w:r>
        <w:rPr>
          <w:lang w:val="en-GB"/>
        </w:rPr>
        <w:t xml:space="preserve"> sections. </w:t>
      </w:r>
      <w:r w:rsidR="00B873A4">
        <w:rPr>
          <w:lang w:val="en-GB"/>
        </w:rPr>
        <w:t>The full system will be maintained at -30°C. As described in figure 1, two types of active elements will be implemented: 640 m² of silicon sensors with Cu/</w:t>
      </w:r>
      <w:proofErr w:type="spellStart"/>
      <w:r w:rsidR="00B873A4">
        <w:rPr>
          <w:lang w:val="en-GB"/>
        </w:rPr>
        <w:t>CuW</w:t>
      </w:r>
      <w:proofErr w:type="spellEnd"/>
      <w:r w:rsidR="00B873A4">
        <w:rPr>
          <w:lang w:val="en-GB"/>
        </w:rPr>
        <w:t>/</w:t>
      </w:r>
      <w:proofErr w:type="spellStart"/>
      <w:r w:rsidR="00B873A4">
        <w:rPr>
          <w:lang w:val="en-GB"/>
        </w:rPr>
        <w:t>Pb</w:t>
      </w:r>
      <w:proofErr w:type="spellEnd"/>
      <w:r w:rsidR="00B873A4">
        <w:rPr>
          <w:lang w:val="en-GB"/>
        </w:rPr>
        <w:t xml:space="preserve"> absorbers </w:t>
      </w:r>
      <w:r w:rsidR="004C6937">
        <w:rPr>
          <w:lang w:val="en-GB"/>
        </w:rPr>
        <w:t>within</w:t>
      </w:r>
      <w:r w:rsidR="00B873A4">
        <w:rPr>
          <w:lang w:val="en-GB"/>
        </w:rPr>
        <w:t xml:space="preserve"> the full electromagnetic calorimeter </w:t>
      </w:r>
      <w:r w:rsidR="004C6937">
        <w:rPr>
          <w:lang w:val="en-GB"/>
        </w:rPr>
        <w:t xml:space="preserve">(CE-E) </w:t>
      </w:r>
      <w:r w:rsidR="00B873A4">
        <w:rPr>
          <w:lang w:val="en-GB"/>
        </w:rPr>
        <w:t xml:space="preserve">and </w:t>
      </w:r>
      <w:r w:rsidR="003F6112">
        <w:rPr>
          <w:lang w:val="en-GB"/>
        </w:rPr>
        <w:t xml:space="preserve">within </w:t>
      </w:r>
      <w:r w:rsidR="00B873A4">
        <w:rPr>
          <w:lang w:val="en-GB"/>
        </w:rPr>
        <w:t xml:space="preserve">the higher intensity region of the </w:t>
      </w:r>
      <w:proofErr w:type="spellStart"/>
      <w:r w:rsidR="00B873A4">
        <w:rPr>
          <w:lang w:val="en-GB"/>
        </w:rPr>
        <w:t>hadronic</w:t>
      </w:r>
      <w:proofErr w:type="spellEnd"/>
      <w:r w:rsidR="00B873A4">
        <w:rPr>
          <w:lang w:val="en-GB"/>
        </w:rPr>
        <w:t xml:space="preserve"> calorimeter</w:t>
      </w:r>
      <w:r w:rsidR="004C6937">
        <w:rPr>
          <w:lang w:val="en-GB"/>
        </w:rPr>
        <w:t xml:space="preserve"> (CE-H)</w:t>
      </w:r>
      <w:r w:rsidR="00B873A4">
        <w:rPr>
          <w:lang w:val="en-GB"/>
        </w:rPr>
        <w:t xml:space="preserve">, and </w:t>
      </w:r>
      <w:r w:rsidR="00F8305C">
        <w:rPr>
          <w:lang w:val="en-GB"/>
        </w:rPr>
        <w:t xml:space="preserve">370 m² of </w:t>
      </w:r>
      <w:proofErr w:type="spellStart"/>
      <w:r w:rsidR="00F8305C">
        <w:rPr>
          <w:lang w:val="en-GB"/>
        </w:rPr>
        <w:t>SiPM</w:t>
      </w:r>
      <w:proofErr w:type="spellEnd"/>
      <w:r w:rsidR="00F8305C">
        <w:rPr>
          <w:lang w:val="en-GB"/>
        </w:rPr>
        <w:t xml:space="preserve">-in-scintillators tiles </w:t>
      </w:r>
      <w:r w:rsidR="004C6937">
        <w:rPr>
          <w:lang w:val="en-GB"/>
        </w:rPr>
        <w:t>within</w:t>
      </w:r>
      <w:r w:rsidR="00B873A4">
        <w:rPr>
          <w:lang w:val="en-GB"/>
        </w:rPr>
        <w:t xml:space="preserve"> the lower intensity region of the </w:t>
      </w:r>
      <w:proofErr w:type="spellStart"/>
      <w:r w:rsidR="00B873A4">
        <w:rPr>
          <w:lang w:val="en-GB"/>
        </w:rPr>
        <w:t>hadronic</w:t>
      </w:r>
      <w:proofErr w:type="spellEnd"/>
      <w:r w:rsidR="00B873A4">
        <w:rPr>
          <w:lang w:val="en-GB"/>
        </w:rPr>
        <w:t xml:space="preserve"> calorimeter. </w:t>
      </w:r>
    </w:p>
    <w:p w:rsidR="00E51A85" w:rsidRDefault="008B6D1E" w:rsidP="00FE76C5">
      <w:pPr>
        <w:pStyle w:val="BodytextIndented"/>
        <w:rPr>
          <w:lang w:val="en-GB"/>
        </w:rPr>
      </w:pPr>
      <w:r>
        <w:rPr>
          <w:lang w:val="en-GB"/>
        </w:rPr>
        <w:t xml:space="preserve">Silicon </w:t>
      </w:r>
      <w:r>
        <w:t>s</w:t>
      </w:r>
      <w:r w:rsidR="00E51A85">
        <w:t>ensors</w:t>
      </w:r>
      <w:r w:rsidR="00E51A85" w:rsidRPr="00E51A85">
        <w:rPr>
          <w:lang w:val="en-GB"/>
        </w:rPr>
        <w:t xml:space="preserve"> will have three different active</w:t>
      </w:r>
      <w:r w:rsidR="00E51A85">
        <w:rPr>
          <w:lang w:val="en-GB"/>
        </w:rPr>
        <w:t xml:space="preserve"> thicknesses (300, 200 and 120 µ</w:t>
      </w:r>
      <w:r w:rsidR="00E51A85" w:rsidRPr="00E51A85">
        <w:rPr>
          <w:lang w:val="en-GB"/>
        </w:rPr>
        <w:t>m)</w:t>
      </w:r>
      <w:r w:rsidR="00E51A85">
        <w:rPr>
          <w:lang w:val="en-GB"/>
        </w:rPr>
        <w:t xml:space="preserve"> </w:t>
      </w:r>
      <w:r w:rsidR="00E51A85" w:rsidRPr="00E51A85">
        <w:rPr>
          <w:lang w:val="en-GB"/>
        </w:rPr>
        <w:t>in order to optimize the charge collection and operation conditions over the full lifetime of</w:t>
      </w:r>
      <w:r w:rsidR="00E51A85">
        <w:rPr>
          <w:lang w:val="en-GB"/>
        </w:rPr>
        <w:t xml:space="preserve"> </w:t>
      </w:r>
      <w:r w:rsidR="00E51A85" w:rsidRPr="00E51A85">
        <w:rPr>
          <w:lang w:val="en-GB"/>
        </w:rPr>
        <w:t>the HGCAL.</w:t>
      </w:r>
      <w:r w:rsidR="00FE76C5" w:rsidRPr="00FE76C5">
        <w:t xml:space="preserve"> </w:t>
      </w:r>
      <w:r w:rsidR="00FE76C5" w:rsidRPr="00FE76C5">
        <w:rPr>
          <w:lang w:val="en-GB"/>
        </w:rPr>
        <w:t>Each sensor has either 192 or 432 individual</w:t>
      </w:r>
      <w:r w:rsidR="00FE76C5">
        <w:rPr>
          <w:lang w:val="en-GB"/>
        </w:rPr>
        <w:t xml:space="preserve"> </w:t>
      </w:r>
      <w:r w:rsidR="00FE76C5" w:rsidRPr="00FE76C5">
        <w:rPr>
          <w:lang w:val="en-GB"/>
        </w:rPr>
        <w:t>diodes, which act as sensor cells.</w:t>
      </w:r>
    </w:p>
    <w:p w:rsidR="006A51D3" w:rsidRDefault="009206F4" w:rsidP="009206F4">
      <w:pPr>
        <w:pStyle w:val="BodytextIndented"/>
        <w:rPr>
          <w:lang w:val="en-GB"/>
        </w:rPr>
      </w:pPr>
      <w:r>
        <w:rPr>
          <w:lang w:val="en-GB"/>
        </w:rPr>
        <w:lastRenderedPageBreak/>
        <w:t>T</w:t>
      </w:r>
      <w:r w:rsidR="00E51A85" w:rsidRPr="00E51A85">
        <w:rPr>
          <w:lang w:val="en-GB"/>
        </w:rPr>
        <w:t xml:space="preserve">he </w:t>
      </w:r>
      <w:proofErr w:type="spellStart"/>
      <w:r>
        <w:rPr>
          <w:lang w:val="en-GB"/>
        </w:rPr>
        <w:t>hadronic</w:t>
      </w:r>
      <w:proofErr w:type="spellEnd"/>
      <w:r w:rsidR="00E51A85" w:rsidRPr="00E51A85">
        <w:rPr>
          <w:lang w:val="en-GB"/>
        </w:rPr>
        <w:t xml:space="preserve"> calorimeter will use scintil</w:t>
      </w:r>
      <w:r>
        <w:rPr>
          <w:lang w:val="en-GB"/>
        </w:rPr>
        <w:t xml:space="preserve">lator as the active material in </w:t>
      </w:r>
      <w:r w:rsidR="00E51A85" w:rsidRPr="00E51A85">
        <w:rPr>
          <w:lang w:val="en-GB"/>
        </w:rPr>
        <w:t>regions where the integra</w:t>
      </w:r>
      <w:r>
        <w:rPr>
          <w:lang w:val="en-GB"/>
        </w:rPr>
        <w:t xml:space="preserve">ted dose is low-enough </w:t>
      </w:r>
      <w:r w:rsidR="00E51A85" w:rsidRPr="00E51A85">
        <w:rPr>
          <w:lang w:val="en-GB"/>
        </w:rPr>
        <w:t>for th</w:t>
      </w:r>
      <w:r>
        <w:rPr>
          <w:lang w:val="en-GB"/>
        </w:rPr>
        <w:t xml:space="preserve">e scintillator, and the </w:t>
      </w:r>
      <w:proofErr w:type="spellStart"/>
      <w:r>
        <w:rPr>
          <w:lang w:val="en-GB"/>
        </w:rPr>
        <w:t>fluence</w:t>
      </w:r>
      <w:proofErr w:type="spellEnd"/>
      <w:r>
        <w:rPr>
          <w:lang w:val="en-GB"/>
        </w:rPr>
        <w:t xml:space="preserve"> is limited </w:t>
      </w:r>
      <w:r w:rsidR="00E51A85" w:rsidRPr="00E51A85">
        <w:rPr>
          <w:lang w:val="en-GB"/>
        </w:rPr>
        <w:t>to retain good overall performance over the whole life of the HL</w:t>
      </w:r>
      <w:r>
        <w:rPr>
          <w:lang w:val="en-GB"/>
        </w:rPr>
        <w:t>-</w:t>
      </w:r>
      <w:r w:rsidR="00E51A85" w:rsidRPr="00E51A85">
        <w:rPr>
          <w:lang w:val="en-GB"/>
        </w:rPr>
        <w:t>LH</w:t>
      </w:r>
      <w:r>
        <w:rPr>
          <w:lang w:val="en-GB"/>
        </w:rPr>
        <w:t>C</w:t>
      </w:r>
      <w:r w:rsidR="00E51A85" w:rsidRPr="00E51A85">
        <w:rPr>
          <w:lang w:val="en-GB"/>
        </w:rPr>
        <w:t>.</w:t>
      </w:r>
    </w:p>
    <w:p w:rsidR="009206F4" w:rsidRDefault="009206F4" w:rsidP="009206F4">
      <w:pPr>
        <w:pStyle w:val="BodytextIndented"/>
        <w:rPr>
          <w:lang w:val="en-GB"/>
        </w:rPr>
      </w:pPr>
    </w:p>
    <w:p w:rsidR="009206F4" w:rsidRDefault="009206F4" w:rsidP="009206F4">
      <w:pPr>
        <w:pStyle w:val="BodytextIndented"/>
        <w:jc w:val="center"/>
        <w:rPr>
          <w:lang w:val="en-GB"/>
        </w:rPr>
      </w:pPr>
      <w:r w:rsidRPr="00DA13E6">
        <w:rPr>
          <w:noProof/>
          <w:lang w:val="fr-FR" w:eastAsia="fr-FR"/>
        </w:rPr>
        <w:drawing>
          <wp:inline distT="0" distB="0" distL="0" distR="0" wp14:anchorId="320F35D5" wp14:editId="0C9108D8">
            <wp:extent cx="2991904" cy="2804282"/>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8"/>
                    <a:stretch>
                      <a:fillRect/>
                    </a:stretch>
                  </pic:blipFill>
                  <pic:spPr>
                    <a:xfrm>
                      <a:off x="0" y="0"/>
                      <a:ext cx="2991904" cy="2804282"/>
                    </a:xfrm>
                    <a:prstGeom prst="rect">
                      <a:avLst/>
                    </a:prstGeom>
                  </pic:spPr>
                </pic:pic>
              </a:graphicData>
            </a:graphic>
          </wp:inline>
        </w:drawing>
      </w:r>
    </w:p>
    <w:p w:rsidR="009206F4" w:rsidRPr="009206F4" w:rsidRDefault="009206F4" w:rsidP="009206F4">
      <w:pPr>
        <w:pStyle w:val="Lgende"/>
        <w:jc w:val="center"/>
        <w:rPr>
          <w:color w:val="auto"/>
        </w:rPr>
      </w:pPr>
      <w:r w:rsidRPr="00597D9F">
        <w:rPr>
          <w:color w:val="auto"/>
        </w:rPr>
        <w:t xml:space="preserve">Figure </w:t>
      </w:r>
      <w:r w:rsidRPr="00597D9F">
        <w:rPr>
          <w:color w:val="auto"/>
        </w:rPr>
        <w:fldChar w:fldCharType="begin"/>
      </w:r>
      <w:r w:rsidRPr="00597D9F">
        <w:rPr>
          <w:color w:val="auto"/>
        </w:rPr>
        <w:instrText xml:space="preserve"> SEQ Figure \* ARABIC </w:instrText>
      </w:r>
      <w:r w:rsidRPr="00597D9F">
        <w:rPr>
          <w:color w:val="auto"/>
        </w:rPr>
        <w:fldChar w:fldCharType="separate"/>
      </w:r>
      <w:r w:rsidR="00867E58">
        <w:rPr>
          <w:noProof/>
          <w:color w:val="auto"/>
        </w:rPr>
        <w:t>1</w:t>
      </w:r>
      <w:r w:rsidRPr="00597D9F">
        <w:rPr>
          <w:color w:val="auto"/>
        </w:rPr>
        <w:fldChar w:fldCharType="end"/>
      </w:r>
      <w:r w:rsidRPr="00597D9F">
        <w:rPr>
          <w:color w:val="auto"/>
        </w:rPr>
        <w:t>:cross-section view of HGCAL</w:t>
      </w:r>
      <w:r w:rsidR="008430D0">
        <w:rPr>
          <w:color w:val="auto"/>
        </w:rPr>
        <w:t xml:space="preserve">. In green, the region with silicon sensors and in blue with </w:t>
      </w:r>
      <w:proofErr w:type="spellStart"/>
      <w:r w:rsidR="008430D0">
        <w:rPr>
          <w:color w:val="auto"/>
        </w:rPr>
        <w:t>SiPM</w:t>
      </w:r>
      <w:proofErr w:type="spellEnd"/>
      <w:r w:rsidR="008430D0">
        <w:rPr>
          <w:color w:val="auto"/>
        </w:rPr>
        <w:t>-in-scintillators tiles.</w:t>
      </w:r>
    </w:p>
    <w:p w:rsidR="00DA13E6" w:rsidRPr="00DA13E6" w:rsidRDefault="008B6D1E" w:rsidP="00464320">
      <w:pPr>
        <w:pStyle w:val="BodytextIndented"/>
        <w:rPr>
          <w:lang w:val="en-GB"/>
        </w:rPr>
      </w:pPr>
      <w:r>
        <w:rPr>
          <w:lang w:val="en-GB"/>
        </w:rPr>
        <w:t>As a</w:t>
      </w:r>
      <w:r w:rsidR="00464320">
        <w:rPr>
          <w:lang w:val="en-GB"/>
        </w:rPr>
        <w:t xml:space="preserve"> </w:t>
      </w:r>
      <w:r w:rsidR="003F6112">
        <w:rPr>
          <w:lang w:val="en-GB"/>
        </w:rPr>
        <w:t>result</w:t>
      </w:r>
      <w:r w:rsidR="00464320">
        <w:rPr>
          <w:lang w:val="en-GB"/>
        </w:rPr>
        <w:t xml:space="preserve">, two versions of the chip are </w:t>
      </w:r>
      <w:r w:rsidR="003F6112">
        <w:rPr>
          <w:lang w:val="en-GB"/>
        </w:rPr>
        <w:t>required</w:t>
      </w:r>
      <w:r w:rsidR="00464320">
        <w:rPr>
          <w:lang w:val="en-GB"/>
        </w:rPr>
        <w:t xml:space="preserve"> to read out the </w:t>
      </w:r>
      <w:r w:rsidR="004C6937">
        <w:rPr>
          <w:lang w:val="en-GB"/>
        </w:rPr>
        <w:t xml:space="preserve">two types of sensors, </w:t>
      </w:r>
      <w:r w:rsidR="00464320">
        <w:rPr>
          <w:lang w:val="en-GB"/>
        </w:rPr>
        <w:t xml:space="preserve">silicon and </w:t>
      </w:r>
      <w:proofErr w:type="spellStart"/>
      <w:r w:rsidR="00464320">
        <w:rPr>
          <w:lang w:val="en-GB"/>
        </w:rPr>
        <w:t>SiPM</w:t>
      </w:r>
      <w:proofErr w:type="spellEnd"/>
      <w:r w:rsidR="00464320">
        <w:rPr>
          <w:lang w:val="en-GB"/>
        </w:rPr>
        <w:t xml:space="preserve">. They have to provide a charge measurement up to 10 </w:t>
      </w:r>
      <w:proofErr w:type="spellStart"/>
      <w:r w:rsidR="00464320">
        <w:rPr>
          <w:lang w:val="en-GB"/>
        </w:rPr>
        <w:t>pC</w:t>
      </w:r>
      <w:proofErr w:type="spellEnd"/>
      <w:r w:rsidR="00464320">
        <w:rPr>
          <w:lang w:val="en-GB"/>
        </w:rPr>
        <w:t xml:space="preserve"> for the silicon</w:t>
      </w:r>
      <w:r w:rsidR="004C6937">
        <w:rPr>
          <w:lang w:val="en-GB"/>
        </w:rPr>
        <w:t>-version</w:t>
      </w:r>
      <w:r w:rsidR="00464320">
        <w:rPr>
          <w:lang w:val="en-GB"/>
        </w:rPr>
        <w:t xml:space="preserve"> and 300 </w:t>
      </w:r>
      <w:proofErr w:type="spellStart"/>
      <w:r w:rsidR="00464320">
        <w:rPr>
          <w:lang w:val="en-GB"/>
        </w:rPr>
        <w:t>pC</w:t>
      </w:r>
      <w:proofErr w:type="spellEnd"/>
      <w:r w:rsidR="00464320">
        <w:rPr>
          <w:lang w:val="en-GB"/>
        </w:rPr>
        <w:t xml:space="preserve"> for the </w:t>
      </w:r>
      <w:proofErr w:type="spellStart"/>
      <w:r w:rsidR="00464320">
        <w:rPr>
          <w:lang w:val="en-GB"/>
        </w:rPr>
        <w:t>SiPM</w:t>
      </w:r>
      <w:proofErr w:type="spellEnd"/>
      <w:r w:rsidR="00464320">
        <w:rPr>
          <w:lang w:val="en-GB"/>
        </w:rPr>
        <w:t xml:space="preserve">-version, with a noise level below 0.4 </w:t>
      </w:r>
      <w:proofErr w:type="spellStart"/>
      <w:r w:rsidR="00464320">
        <w:rPr>
          <w:lang w:val="en-GB"/>
        </w:rPr>
        <w:t>fC</w:t>
      </w:r>
      <w:proofErr w:type="spellEnd"/>
      <w:r w:rsidR="00464320">
        <w:rPr>
          <w:lang w:val="en-GB"/>
        </w:rPr>
        <w:t xml:space="preserve"> (2500 electrons). In order to mitigate the out-of-time pile-up, the chip </w:t>
      </w:r>
      <w:r w:rsidR="003F6112">
        <w:rPr>
          <w:lang w:val="en-GB"/>
        </w:rPr>
        <w:t>has</w:t>
      </w:r>
      <w:r w:rsidR="00464320">
        <w:rPr>
          <w:lang w:val="en-GB"/>
        </w:rPr>
        <w:t xml:space="preserve"> to achieve a fast shaping time (peak &lt; 25 ns), </w:t>
      </w:r>
      <w:r w:rsidR="003F6112">
        <w:rPr>
          <w:lang w:val="en-GB"/>
        </w:rPr>
        <w:t xml:space="preserve">and having </w:t>
      </w:r>
      <w:r w:rsidR="00464320">
        <w:rPr>
          <w:lang w:val="en-GB"/>
        </w:rPr>
        <w:t xml:space="preserve">less than 20 % of the signal in the next bunch crossing. Furthermore, it </w:t>
      </w:r>
      <w:r w:rsidR="003F6112">
        <w:rPr>
          <w:lang w:val="en-GB"/>
        </w:rPr>
        <w:t>has</w:t>
      </w:r>
      <w:r w:rsidR="00464320">
        <w:rPr>
          <w:lang w:val="en-GB"/>
        </w:rPr>
        <w:t xml:space="preserve"> to provide a precise timing capability with 25 </w:t>
      </w:r>
      <w:proofErr w:type="spellStart"/>
      <w:r w:rsidR="00464320">
        <w:rPr>
          <w:lang w:val="en-GB"/>
        </w:rPr>
        <w:t>ps</w:t>
      </w:r>
      <w:proofErr w:type="spellEnd"/>
      <w:r w:rsidR="00464320">
        <w:rPr>
          <w:lang w:val="en-GB"/>
        </w:rPr>
        <w:t xml:space="preserve"> binning (~100 </w:t>
      </w:r>
      <w:proofErr w:type="spellStart"/>
      <w:r w:rsidR="00464320">
        <w:rPr>
          <w:lang w:val="en-GB"/>
        </w:rPr>
        <w:t>ps</w:t>
      </w:r>
      <w:proofErr w:type="spellEnd"/>
      <w:r w:rsidR="00464320">
        <w:rPr>
          <w:lang w:val="en-GB"/>
        </w:rPr>
        <w:t xml:space="preserve"> resolution around 10 </w:t>
      </w:r>
      <w:proofErr w:type="spellStart"/>
      <w:r w:rsidR="00464320">
        <w:rPr>
          <w:lang w:val="en-GB"/>
        </w:rPr>
        <w:t>fC</w:t>
      </w:r>
      <w:proofErr w:type="spellEnd"/>
      <w:r w:rsidR="00464320">
        <w:rPr>
          <w:lang w:val="en-GB"/>
        </w:rPr>
        <w:t xml:space="preserve">, &lt; 25 </w:t>
      </w:r>
      <w:proofErr w:type="spellStart"/>
      <w:r w:rsidR="00464320">
        <w:rPr>
          <w:lang w:val="en-GB"/>
        </w:rPr>
        <w:t>ps</w:t>
      </w:r>
      <w:proofErr w:type="spellEnd"/>
      <w:r w:rsidR="00464320">
        <w:rPr>
          <w:lang w:val="en-GB"/>
        </w:rPr>
        <w:t xml:space="preserve"> resolution after 100 </w:t>
      </w:r>
      <w:proofErr w:type="spellStart"/>
      <w:r w:rsidR="00464320">
        <w:rPr>
          <w:lang w:val="en-GB"/>
        </w:rPr>
        <w:t>fC</w:t>
      </w:r>
      <w:proofErr w:type="spellEnd"/>
      <w:r w:rsidR="00464320">
        <w:rPr>
          <w:lang w:val="en-GB"/>
        </w:rPr>
        <w:t>).</w:t>
      </w:r>
    </w:p>
    <w:p w:rsidR="005A6A83" w:rsidRDefault="00FA1E5A" w:rsidP="005A6A83">
      <w:pPr>
        <w:pStyle w:val="titre10"/>
      </w:pPr>
      <w:r>
        <w:t xml:space="preserve">HGCROC2 </w:t>
      </w:r>
      <w:r w:rsidR="005A6A83">
        <w:t>overview</w:t>
      </w:r>
    </w:p>
    <w:p w:rsidR="00FE76C5" w:rsidRPr="00FE76C5" w:rsidRDefault="00FE76C5" w:rsidP="00FE76C5">
      <w:pPr>
        <w:pStyle w:val="BodytextIndented"/>
        <w:ind w:firstLine="0"/>
        <w:rPr>
          <w:lang w:val="en-GB"/>
        </w:rPr>
      </w:pPr>
      <w:r>
        <w:rPr>
          <w:lang w:val="en-GB"/>
        </w:rPr>
        <w:t xml:space="preserve">The front-end </w:t>
      </w:r>
      <w:r w:rsidRPr="00FE76C5">
        <w:rPr>
          <w:lang w:val="en-GB"/>
        </w:rPr>
        <w:t>electronics measures and digitizes the charge deposited in the silicon sensors</w:t>
      </w:r>
      <w:r>
        <w:rPr>
          <w:lang w:val="en-GB"/>
        </w:rPr>
        <w:t xml:space="preserve"> </w:t>
      </w:r>
      <w:r w:rsidRPr="00FE76C5">
        <w:rPr>
          <w:lang w:val="en-GB"/>
        </w:rPr>
        <w:t xml:space="preserve">pads or generated in the </w:t>
      </w:r>
      <w:proofErr w:type="spellStart"/>
      <w:r w:rsidRPr="00FE76C5">
        <w:rPr>
          <w:lang w:val="en-GB"/>
        </w:rPr>
        <w:t>SiPMs</w:t>
      </w:r>
      <w:proofErr w:type="spellEnd"/>
      <w:r w:rsidRPr="00FE76C5">
        <w:rPr>
          <w:lang w:val="en-GB"/>
        </w:rPr>
        <w:t>, provides a high precision measurement of the time of arrival of the pulses, and transmits the digi</w:t>
      </w:r>
      <w:r>
        <w:rPr>
          <w:lang w:val="en-GB"/>
        </w:rPr>
        <w:t>tized data to a concentrator chip</w:t>
      </w:r>
      <w:r w:rsidRPr="00FE76C5">
        <w:rPr>
          <w:lang w:val="en-GB"/>
        </w:rPr>
        <w:t>. It also computes, at every bunch crossing, digital sums of neighbouring cells that ar</w:t>
      </w:r>
      <w:r>
        <w:rPr>
          <w:lang w:val="en-GB"/>
        </w:rPr>
        <w:t xml:space="preserve">e transmitted to the trigger concentrator chip and then to the back-end electronics </w:t>
      </w:r>
      <w:r w:rsidRPr="00FE76C5">
        <w:rPr>
          <w:lang w:val="en-GB"/>
        </w:rPr>
        <w:t>to</w:t>
      </w:r>
      <w:r>
        <w:rPr>
          <w:lang w:val="en-GB"/>
        </w:rPr>
        <w:t xml:space="preserve"> </w:t>
      </w:r>
      <w:r w:rsidRPr="00FE76C5">
        <w:rPr>
          <w:lang w:val="en-GB"/>
        </w:rPr>
        <w:t>build trigger primitives.</w:t>
      </w:r>
    </w:p>
    <w:p w:rsidR="00FE76C5" w:rsidRPr="00144250" w:rsidRDefault="005A6A83" w:rsidP="00A94F19">
      <w:pPr>
        <w:pStyle w:val="titre20"/>
      </w:pPr>
      <w:r>
        <w:t>HGCROC2 architecture</w:t>
      </w:r>
    </w:p>
    <w:p w:rsidR="005A1439" w:rsidRDefault="00464320" w:rsidP="00A94F19">
      <w:pPr>
        <w:pStyle w:val="BodytextIndented"/>
        <w:ind w:firstLine="0"/>
        <w:rPr>
          <w:lang w:val="en-GB"/>
        </w:rPr>
      </w:pPr>
      <w:r>
        <w:rPr>
          <w:lang w:val="en-GB"/>
        </w:rPr>
        <w:t>HGCROC</w:t>
      </w:r>
      <w:r w:rsidR="004C6937">
        <w:rPr>
          <w:lang w:val="en-GB"/>
        </w:rPr>
        <w:t>2</w:t>
      </w:r>
      <w:r w:rsidR="005A1439">
        <w:rPr>
          <w:lang w:val="en-GB"/>
        </w:rPr>
        <w:t xml:space="preserve"> embeds 72 regular channels of the full </w:t>
      </w:r>
      <w:proofErr w:type="spellStart"/>
      <w:r w:rsidR="005A1439">
        <w:rPr>
          <w:lang w:val="en-GB"/>
        </w:rPr>
        <w:t>analog</w:t>
      </w:r>
      <w:proofErr w:type="spellEnd"/>
      <w:r w:rsidR="005A1439">
        <w:rPr>
          <w:lang w:val="en-GB"/>
        </w:rPr>
        <w:t xml:space="preserve"> chain achieving charge and timing information, 2 calibration channels which will be connected on smaller cells for calibrating on the MIP throughout the entire detector life and 4 common mode channels for possibly subtracting the common noise. </w:t>
      </w:r>
    </w:p>
    <w:p w:rsidR="005A1439" w:rsidRDefault="005A1439" w:rsidP="001F3634">
      <w:pPr>
        <w:pStyle w:val="BodytextIndented"/>
        <w:rPr>
          <w:lang w:val="en-GB"/>
        </w:rPr>
      </w:pPr>
      <w:r>
        <w:rPr>
          <w:lang w:val="en-GB"/>
        </w:rPr>
        <w:t xml:space="preserve">Each channel is made of a low-noise preamplifier. </w:t>
      </w:r>
      <w:r w:rsidR="00234AF4">
        <w:rPr>
          <w:lang w:val="en-GB"/>
        </w:rPr>
        <w:t xml:space="preserve">Its gain can be adjusted so that MIP gives 10 ADC counts. In the preamplifier’s linear regime, the signal goes to the 10-bit </w:t>
      </w:r>
      <w:r w:rsidR="00DE5267">
        <w:rPr>
          <w:lang w:val="en-GB"/>
        </w:rPr>
        <w:t>SAR-</w:t>
      </w:r>
      <w:r w:rsidR="00234AF4">
        <w:rPr>
          <w:lang w:val="en-GB"/>
        </w:rPr>
        <w:t xml:space="preserve">ADC </w:t>
      </w:r>
      <w:r w:rsidR="00DE5267">
        <w:rPr>
          <w:lang w:val="en-GB"/>
        </w:rPr>
        <w:t xml:space="preserve">[2] </w:t>
      </w:r>
      <w:r w:rsidR="00234AF4">
        <w:rPr>
          <w:lang w:val="en-GB"/>
        </w:rPr>
        <w:t xml:space="preserve">through the shaper which optimizes the signal to noise ratio. </w:t>
      </w:r>
      <w:r w:rsidR="00CA3225">
        <w:rPr>
          <w:lang w:val="en-GB"/>
        </w:rPr>
        <w:t>After</w:t>
      </w:r>
      <w:r w:rsidR="00234AF4">
        <w:rPr>
          <w:lang w:val="en-GB"/>
        </w:rPr>
        <w:t xml:space="preserve"> the preamplifier saturation, the charge measurement is provided by a discriminator associated to a 12-bit TDC which measures the Time-over-Threshold (</w:t>
      </w:r>
      <w:proofErr w:type="spellStart"/>
      <w:r w:rsidR="00234AF4">
        <w:rPr>
          <w:lang w:val="en-GB"/>
        </w:rPr>
        <w:t>ToT</w:t>
      </w:r>
      <w:proofErr w:type="spellEnd"/>
      <w:r w:rsidR="00234AF4">
        <w:rPr>
          <w:lang w:val="en-GB"/>
        </w:rPr>
        <w:t>)</w:t>
      </w:r>
      <w:r w:rsidR="00CA3225">
        <w:rPr>
          <w:lang w:val="en-GB"/>
        </w:rPr>
        <w:t xml:space="preserve"> with 50 </w:t>
      </w:r>
      <w:proofErr w:type="spellStart"/>
      <w:r w:rsidR="00CA3225">
        <w:rPr>
          <w:lang w:val="en-GB"/>
        </w:rPr>
        <w:t>ps</w:t>
      </w:r>
      <w:proofErr w:type="spellEnd"/>
      <w:r w:rsidR="00CA3225">
        <w:rPr>
          <w:lang w:val="en-GB"/>
        </w:rPr>
        <w:t xml:space="preserve"> binning and so up to 200 ns</w:t>
      </w:r>
      <w:r w:rsidR="00234AF4">
        <w:rPr>
          <w:lang w:val="en-GB"/>
        </w:rPr>
        <w:t>.</w:t>
      </w:r>
      <w:r w:rsidR="001F3634">
        <w:rPr>
          <w:lang w:val="en-GB"/>
        </w:rPr>
        <w:t xml:space="preserve"> Another fast discriminator associated to a 10-bit TDC provid</w:t>
      </w:r>
      <w:r w:rsidR="003F6112">
        <w:rPr>
          <w:lang w:val="en-GB"/>
        </w:rPr>
        <w:t>e</w:t>
      </w:r>
      <w:r w:rsidR="001F3634">
        <w:rPr>
          <w:lang w:val="en-GB"/>
        </w:rPr>
        <w:t xml:space="preserve"> the Time-of-Arrival (</w:t>
      </w:r>
      <w:proofErr w:type="spellStart"/>
      <w:r w:rsidR="001F3634">
        <w:rPr>
          <w:lang w:val="en-GB"/>
        </w:rPr>
        <w:t>ToA</w:t>
      </w:r>
      <w:proofErr w:type="spellEnd"/>
      <w:r w:rsidR="001F3634">
        <w:rPr>
          <w:lang w:val="en-GB"/>
        </w:rPr>
        <w:t>)</w:t>
      </w:r>
      <w:r w:rsidR="00CA3225">
        <w:rPr>
          <w:lang w:val="en-GB"/>
        </w:rPr>
        <w:t xml:space="preserve"> with 25 </w:t>
      </w:r>
      <w:proofErr w:type="spellStart"/>
      <w:r w:rsidR="00CA3225">
        <w:rPr>
          <w:lang w:val="en-GB"/>
        </w:rPr>
        <w:t>ps</w:t>
      </w:r>
      <w:proofErr w:type="spellEnd"/>
      <w:r w:rsidR="00CA3225">
        <w:rPr>
          <w:lang w:val="en-GB"/>
        </w:rPr>
        <w:t xml:space="preserve"> binning</w:t>
      </w:r>
      <w:r w:rsidR="001F3634">
        <w:rPr>
          <w:lang w:val="en-GB"/>
        </w:rPr>
        <w:t>.</w:t>
      </w:r>
      <w:r w:rsidR="00CA3225">
        <w:rPr>
          <w:lang w:val="en-GB"/>
        </w:rPr>
        <w:t xml:space="preserve"> The chip </w:t>
      </w:r>
      <w:r w:rsidR="00865B3B">
        <w:rPr>
          <w:lang w:val="en-GB"/>
        </w:rPr>
        <w:t>provides</w:t>
      </w:r>
      <w:r w:rsidR="00CA3225">
        <w:rPr>
          <w:lang w:val="en-GB"/>
        </w:rPr>
        <w:t xml:space="preserve"> ADC, </w:t>
      </w:r>
      <w:proofErr w:type="spellStart"/>
      <w:r w:rsidR="00CA3225">
        <w:rPr>
          <w:lang w:val="en-GB"/>
        </w:rPr>
        <w:t>ToT</w:t>
      </w:r>
      <w:proofErr w:type="spellEnd"/>
      <w:r w:rsidR="00CA3225">
        <w:rPr>
          <w:lang w:val="en-GB"/>
        </w:rPr>
        <w:t xml:space="preserve"> and </w:t>
      </w:r>
      <w:proofErr w:type="spellStart"/>
      <w:r w:rsidR="00CA3225">
        <w:rPr>
          <w:lang w:val="en-GB"/>
        </w:rPr>
        <w:t>ToA</w:t>
      </w:r>
      <w:proofErr w:type="spellEnd"/>
      <w:r w:rsidR="00CA3225">
        <w:rPr>
          <w:lang w:val="en-GB"/>
        </w:rPr>
        <w:t xml:space="preserve"> data of each bunch crossing at 40 </w:t>
      </w:r>
      <w:proofErr w:type="spellStart"/>
      <w:r w:rsidR="00CA3225">
        <w:rPr>
          <w:lang w:val="en-GB"/>
        </w:rPr>
        <w:t>MHz.</w:t>
      </w:r>
      <w:proofErr w:type="spellEnd"/>
      <w:r w:rsidR="00CA3225">
        <w:rPr>
          <w:lang w:val="en-GB"/>
        </w:rPr>
        <w:t xml:space="preserve"> Those data are stored in a 512-depth circular memory for 12.8µs</w:t>
      </w:r>
      <w:r w:rsidR="00DE5267">
        <w:rPr>
          <w:lang w:val="en-GB"/>
        </w:rPr>
        <w:t xml:space="preserve"> [3]</w:t>
      </w:r>
      <w:r w:rsidR="00CA3225">
        <w:rPr>
          <w:lang w:val="en-GB"/>
        </w:rPr>
        <w:t xml:space="preserve">. Only those selected by a L1A trigger request, after 12.5 µs, will be sent out </w:t>
      </w:r>
      <w:r w:rsidR="005A6A83">
        <w:rPr>
          <w:lang w:val="en-GB"/>
        </w:rPr>
        <w:t xml:space="preserve">through two 1.28 </w:t>
      </w:r>
      <w:proofErr w:type="spellStart"/>
      <w:r w:rsidR="005A6A83">
        <w:rPr>
          <w:lang w:val="en-GB"/>
        </w:rPr>
        <w:t>Gbps</w:t>
      </w:r>
      <w:proofErr w:type="spellEnd"/>
      <w:r w:rsidR="005A6A83">
        <w:rPr>
          <w:lang w:val="en-GB"/>
        </w:rPr>
        <w:t xml:space="preserve"> links.</w:t>
      </w:r>
    </w:p>
    <w:p w:rsidR="005A6A83" w:rsidRDefault="005A6A83" w:rsidP="001F3634">
      <w:pPr>
        <w:pStyle w:val="BodytextIndented"/>
        <w:rPr>
          <w:lang w:val="en-GB"/>
        </w:rPr>
      </w:pPr>
      <w:r>
        <w:rPr>
          <w:lang w:val="en-GB"/>
        </w:rPr>
        <w:lastRenderedPageBreak/>
        <w:t xml:space="preserve">HGCAL contributes to the L1A trigger </w:t>
      </w:r>
      <w:r w:rsidR="00144250">
        <w:rPr>
          <w:lang w:val="en-GB"/>
        </w:rPr>
        <w:t>primitives</w:t>
      </w:r>
      <w:r>
        <w:rPr>
          <w:lang w:val="en-GB"/>
        </w:rPr>
        <w:t>, the fi</w:t>
      </w:r>
      <w:r w:rsidR="00865B3B">
        <w:rPr>
          <w:lang w:val="en-GB"/>
        </w:rPr>
        <w:t>rst trigger level of CMS, and therefore</w:t>
      </w:r>
      <w:r>
        <w:rPr>
          <w:lang w:val="en-GB"/>
        </w:rPr>
        <w:t xml:space="preserve"> the chip has to provide a compressed view of all the events at 40 </w:t>
      </w:r>
      <w:proofErr w:type="spellStart"/>
      <w:r>
        <w:rPr>
          <w:lang w:val="en-GB"/>
        </w:rPr>
        <w:t>MHz.</w:t>
      </w:r>
      <w:proofErr w:type="spellEnd"/>
      <w:r>
        <w:rPr>
          <w:lang w:val="en-GB"/>
        </w:rPr>
        <w:t xml:space="preserve"> This is achieved by summing and compressing over 7 bits </w:t>
      </w:r>
      <w:r w:rsidR="00144250">
        <w:rPr>
          <w:lang w:val="en-GB"/>
        </w:rPr>
        <w:t>the charge from 4 or 9 channels;</w:t>
      </w:r>
      <w:r>
        <w:rPr>
          <w:lang w:val="en-GB"/>
        </w:rPr>
        <w:t xml:space="preserve"> four 1.28 </w:t>
      </w:r>
      <w:proofErr w:type="spellStart"/>
      <w:r>
        <w:rPr>
          <w:lang w:val="en-GB"/>
        </w:rPr>
        <w:t>Gbps</w:t>
      </w:r>
      <w:proofErr w:type="spellEnd"/>
      <w:r>
        <w:rPr>
          <w:lang w:val="en-GB"/>
        </w:rPr>
        <w:t xml:space="preserve"> links are devoted to send out the trigger data.</w:t>
      </w:r>
    </w:p>
    <w:p w:rsidR="00FA1E5A" w:rsidRDefault="00FA1E5A" w:rsidP="005A1439">
      <w:pPr>
        <w:pStyle w:val="BodytextIndented"/>
        <w:rPr>
          <w:lang w:val="en-GB"/>
        </w:rPr>
      </w:pPr>
      <w:r w:rsidRPr="00FA1E5A">
        <w:rPr>
          <w:lang w:val="en-GB"/>
        </w:rPr>
        <w:t xml:space="preserve"> </w:t>
      </w:r>
    </w:p>
    <w:p w:rsidR="00597D9F" w:rsidRDefault="00DA13E6" w:rsidP="00597D9F">
      <w:pPr>
        <w:pStyle w:val="BodytextIndented"/>
        <w:keepNext/>
        <w:ind w:firstLine="0"/>
        <w:jc w:val="center"/>
      </w:pPr>
      <w:r w:rsidRPr="00DA13E6">
        <w:rPr>
          <w:noProof/>
          <w:lang w:val="fr-FR" w:eastAsia="fr-FR"/>
        </w:rPr>
        <w:drawing>
          <wp:inline distT="0" distB="0" distL="0" distR="0" wp14:anchorId="6C2E26D3" wp14:editId="41946CB4">
            <wp:extent cx="4082852" cy="2582753"/>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9">
                      <a:extLst>
                        <a:ext uri="{28A0092B-C50C-407E-A947-70E740481C1C}">
                          <a14:useLocalDpi xmlns:a14="http://schemas.microsoft.com/office/drawing/2010/main"/>
                        </a:ext>
                      </a:extLst>
                    </a:blip>
                    <a:srcRect t="1" b="-2377"/>
                    <a:stretch/>
                  </pic:blipFill>
                  <pic:spPr bwMode="auto">
                    <a:xfrm>
                      <a:off x="0" y="0"/>
                      <a:ext cx="4126433" cy="2610321"/>
                    </a:xfrm>
                    <a:prstGeom prst="rect">
                      <a:avLst/>
                    </a:prstGeom>
                    <a:ln>
                      <a:noFill/>
                    </a:ln>
                    <a:extLst>
                      <a:ext uri="{53640926-AAD7-44D8-BBD7-CCE9431645EC}">
                        <a14:shadowObscured xmlns:a14="http://schemas.microsoft.com/office/drawing/2010/main"/>
                      </a:ext>
                    </a:extLst>
                  </pic:spPr>
                </pic:pic>
              </a:graphicData>
            </a:graphic>
          </wp:inline>
        </w:drawing>
      </w:r>
    </w:p>
    <w:p w:rsidR="00DA13E6" w:rsidRPr="00B21CE7" w:rsidRDefault="00597D9F" w:rsidP="00B21CE7">
      <w:pPr>
        <w:pStyle w:val="Lgende"/>
        <w:jc w:val="center"/>
        <w:rPr>
          <w:color w:val="auto"/>
        </w:rPr>
      </w:pPr>
      <w:r w:rsidRPr="00597D9F">
        <w:rPr>
          <w:color w:val="auto"/>
        </w:rPr>
        <w:t xml:space="preserve">Figure </w:t>
      </w:r>
      <w:r w:rsidRPr="00597D9F">
        <w:rPr>
          <w:color w:val="auto"/>
        </w:rPr>
        <w:fldChar w:fldCharType="begin"/>
      </w:r>
      <w:r w:rsidRPr="00597D9F">
        <w:rPr>
          <w:color w:val="auto"/>
        </w:rPr>
        <w:instrText xml:space="preserve"> SEQ Figure \* ARABIC </w:instrText>
      </w:r>
      <w:r w:rsidRPr="00597D9F">
        <w:rPr>
          <w:color w:val="auto"/>
        </w:rPr>
        <w:fldChar w:fldCharType="separate"/>
      </w:r>
      <w:r w:rsidR="00867E58">
        <w:rPr>
          <w:noProof/>
          <w:color w:val="auto"/>
        </w:rPr>
        <w:t>2</w:t>
      </w:r>
      <w:r w:rsidRPr="00597D9F">
        <w:rPr>
          <w:color w:val="auto"/>
        </w:rPr>
        <w:fldChar w:fldCharType="end"/>
      </w:r>
      <w:r w:rsidRPr="00597D9F">
        <w:rPr>
          <w:color w:val="auto"/>
        </w:rPr>
        <w:t>: HGCROC2 architectural overview</w:t>
      </w:r>
      <w:r w:rsidR="008430D0">
        <w:rPr>
          <w:color w:val="auto"/>
        </w:rPr>
        <w:t>.</w:t>
      </w:r>
    </w:p>
    <w:p w:rsidR="00F9686F" w:rsidRDefault="00FA1E5A" w:rsidP="00FA1E5A">
      <w:pPr>
        <w:pStyle w:val="BodytextIndented"/>
        <w:rPr>
          <w:lang w:val="en-GB"/>
        </w:rPr>
      </w:pPr>
      <w:r w:rsidRPr="00FA1E5A">
        <w:rPr>
          <w:lang w:val="en-GB"/>
        </w:rPr>
        <w:t xml:space="preserve">The I2C protocol is used to set or read the more than 7900 parameters of the chip. This part is triplicated to resist to the Single Event Effect (SEE). The chip is controlled by the Fast Command block which receives a clock and a command link at 320 </w:t>
      </w:r>
      <w:proofErr w:type="spellStart"/>
      <w:r w:rsidRPr="00FA1E5A">
        <w:rPr>
          <w:lang w:val="en-GB"/>
        </w:rPr>
        <w:t>MHz.</w:t>
      </w:r>
      <w:proofErr w:type="spellEnd"/>
      <w:r w:rsidRPr="00FA1E5A">
        <w:rPr>
          <w:lang w:val="en-GB"/>
        </w:rPr>
        <w:t xml:space="preserve"> This allows to configure the operating mode of the system: link</w:t>
      </w:r>
      <w:r w:rsidR="007C2735">
        <w:rPr>
          <w:lang w:val="en-GB"/>
        </w:rPr>
        <w:t>s</w:t>
      </w:r>
      <w:r w:rsidRPr="00FA1E5A">
        <w:rPr>
          <w:lang w:val="en-GB"/>
        </w:rPr>
        <w:t xml:space="preserve"> synchronization, reset, calibration, L1</w:t>
      </w:r>
      <w:r w:rsidR="007C2735">
        <w:rPr>
          <w:lang w:val="en-GB"/>
        </w:rPr>
        <w:t>A</w:t>
      </w:r>
      <w:r w:rsidRPr="00FA1E5A">
        <w:rPr>
          <w:lang w:val="en-GB"/>
        </w:rPr>
        <w:t xml:space="preserve"> request, etc. The 40 MHz clock, in phase with the LHC clock, is extracted from the 320 MHz fast command link and provides the clock to the digital part of the ASIC (digital processing, I2C) and to the PLL which generates the others clocks needed to operate the chip: the 640 MHz clock for the 1.28 </w:t>
      </w:r>
      <w:proofErr w:type="spellStart"/>
      <w:r w:rsidRPr="00FA1E5A">
        <w:rPr>
          <w:lang w:val="en-GB"/>
        </w:rPr>
        <w:t>Gbps</w:t>
      </w:r>
      <w:proofErr w:type="spellEnd"/>
      <w:r w:rsidRPr="00FA1E5A">
        <w:rPr>
          <w:lang w:val="en-GB"/>
        </w:rPr>
        <w:t xml:space="preserve"> links, the </w:t>
      </w:r>
      <w:r w:rsidR="008B6D1E" w:rsidRPr="00FA1E5A">
        <w:rPr>
          <w:lang w:val="en-GB"/>
        </w:rPr>
        <w:t xml:space="preserve">adjustable </w:t>
      </w:r>
      <w:r w:rsidRPr="00FA1E5A">
        <w:rPr>
          <w:lang w:val="en-GB"/>
        </w:rPr>
        <w:t xml:space="preserve">phase 40 MHz clock for the ADCs, the </w:t>
      </w:r>
      <w:r w:rsidR="008B6D1E" w:rsidRPr="00FA1E5A">
        <w:rPr>
          <w:lang w:val="en-GB"/>
        </w:rPr>
        <w:t xml:space="preserve">adjustable </w:t>
      </w:r>
      <w:r w:rsidRPr="00FA1E5A">
        <w:rPr>
          <w:lang w:val="en-GB"/>
        </w:rPr>
        <w:t>phase 160 MHz clock for the TDCs</w:t>
      </w:r>
      <w:r w:rsidR="008B6D1E">
        <w:rPr>
          <w:lang w:val="en-GB"/>
        </w:rPr>
        <w:t>.</w:t>
      </w:r>
    </w:p>
    <w:p w:rsidR="007C2735" w:rsidRDefault="007C2735" w:rsidP="00FA1E5A">
      <w:pPr>
        <w:pStyle w:val="BodytextIndented"/>
        <w:rPr>
          <w:lang w:val="en-GB"/>
        </w:rPr>
      </w:pPr>
      <w:r>
        <w:rPr>
          <w:lang w:val="en-GB"/>
        </w:rPr>
        <w:t xml:space="preserve">The chip is made fully symmetric. Each half hosts 8 blocks of 4 channels, 2 common mode blocks, the bias, a </w:t>
      </w:r>
      <w:proofErr w:type="spellStart"/>
      <w:r>
        <w:rPr>
          <w:lang w:val="en-GB"/>
        </w:rPr>
        <w:t>bandgap</w:t>
      </w:r>
      <w:proofErr w:type="spellEnd"/>
      <w:r>
        <w:rPr>
          <w:lang w:val="en-GB"/>
        </w:rPr>
        <w:t xml:space="preserve"> and all the reference voltage</w:t>
      </w:r>
      <w:r w:rsidR="003F6112">
        <w:rPr>
          <w:lang w:val="en-GB"/>
        </w:rPr>
        <w:t>s</w:t>
      </w:r>
      <w:r w:rsidR="00AF4E81">
        <w:rPr>
          <w:lang w:val="en-GB"/>
        </w:rPr>
        <w:t xml:space="preserve">, the digital processing for the trigger sums and the data storage. Common to the chip, there are only the I2C, the fast command block, the PLL and the 1.28 </w:t>
      </w:r>
      <w:proofErr w:type="spellStart"/>
      <w:r w:rsidR="00AF4E81">
        <w:rPr>
          <w:lang w:val="en-GB"/>
        </w:rPr>
        <w:t>Gbps</w:t>
      </w:r>
      <w:proofErr w:type="spellEnd"/>
      <w:r w:rsidR="00AF4E81">
        <w:rPr>
          <w:lang w:val="en-GB"/>
        </w:rPr>
        <w:t xml:space="preserve"> links. </w:t>
      </w:r>
    </w:p>
    <w:p w:rsidR="00DA13E6" w:rsidRDefault="00DA13E6" w:rsidP="005A6A83">
      <w:pPr>
        <w:pStyle w:val="titre20"/>
      </w:pPr>
      <w:r>
        <w:t xml:space="preserve">Packaging </w:t>
      </w:r>
      <w:r w:rsidR="005A6A83">
        <w:t>and characterization boards</w:t>
      </w:r>
    </w:p>
    <w:p w:rsidR="00597D9F" w:rsidRDefault="00144250" w:rsidP="005A6A83">
      <w:pPr>
        <w:pStyle w:val="BodytextIndented"/>
        <w:ind w:firstLine="0"/>
        <w:rPr>
          <w:lang w:val="en-GB"/>
        </w:rPr>
      </w:pPr>
      <w:r>
        <w:rPr>
          <w:lang w:val="en-GB"/>
        </w:rPr>
        <w:t>The chip does</w:t>
      </w:r>
      <w:r w:rsidR="00597D9F">
        <w:rPr>
          <w:lang w:val="en-GB"/>
        </w:rPr>
        <w:t xml:space="preserve"> not </w:t>
      </w:r>
      <w:r>
        <w:rPr>
          <w:lang w:val="en-GB"/>
        </w:rPr>
        <w:t>use wire bonds but</w:t>
      </w:r>
      <w:r w:rsidR="003F6112">
        <w:rPr>
          <w:lang w:val="en-GB"/>
        </w:rPr>
        <w:t xml:space="preserve"> C4 bumps which allow</w:t>
      </w:r>
      <w:r w:rsidR="00597D9F">
        <w:rPr>
          <w:lang w:val="en-GB"/>
        </w:rPr>
        <w:t xml:space="preserve"> a </w:t>
      </w:r>
      <w:r>
        <w:rPr>
          <w:lang w:val="en-GB"/>
        </w:rPr>
        <w:t>much b</w:t>
      </w:r>
      <w:r w:rsidR="003F6112">
        <w:rPr>
          <w:lang w:val="en-GB"/>
        </w:rPr>
        <w:t>etter power distribution and led</w:t>
      </w:r>
      <w:r>
        <w:rPr>
          <w:lang w:val="en-GB"/>
        </w:rPr>
        <w:t xml:space="preserve"> to a</w:t>
      </w:r>
      <w:r w:rsidR="00597D9F">
        <w:rPr>
          <w:lang w:val="en-GB"/>
        </w:rPr>
        <w:t xml:space="preserve"> large improvement in terms of noise and crosstalk compared to the first pro</w:t>
      </w:r>
      <w:r>
        <w:rPr>
          <w:lang w:val="en-GB"/>
        </w:rPr>
        <w:t>totype</w:t>
      </w:r>
      <w:r w:rsidR="00597D9F">
        <w:rPr>
          <w:lang w:val="en-GB"/>
        </w:rPr>
        <w:t xml:space="preserve">. </w:t>
      </w:r>
    </w:p>
    <w:p w:rsidR="005A6A83" w:rsidRDefault="00597D9F" w:rsidP="00597D9F">
      <w:pPr>
        <w:pStyle w:val="BodytextIndented"/>
        <w:rPr>
          <w:lang w:val="en-GB"/>
        </w:rPr>
      </w:pPr>
      <w:r>
        <w:rPr>
          <w:lang w:val="en-GB"/>
        </w:rPr>
        <w:t>The chip will be packaged in two different BGA:</w:t>
      </w:r>
    </w:p>
    <w:p w:rsidR="00597D9F" w:rsidRDefault="00597D9F" w:rsidP="00597D9F">
      <w:pPr>
        <w:pStyle w:val="BodytextIndented"/>
        <w:numPr>
          <w:ilvl w:val="0"/>
          <w:numId w:val="12"/>
        </w:numPr>
        <w:rPr>
          <w:lang w:val="en-GB"/>
        </w:rPr>
      </w:pPr>
      <w:r>
        <w:rPr>
          <w:lang w:val="en-GB"/>
        </w:rPr>
        <w:t>Low density package, 0.8 mm pitch</w:t>
      </w:r>
      <w:r w:rsidRPr="00597D9F">
        <w:rPr>
          <w:iCs w:val="0"/>
          <w:color w:val="auto"/>
          <w:szCs w:val="20"/>
          <w:lang w:val="en-GB"/>
        </w:rPr>
        <w:t xml:space="preserve"> </w:t>
      </w:r>
      <w:r w:rsidRPr="00597D9F">
        <w:rPr>
          <w:lang w:val="en-GB"/>
        </w:rPr>
        <w:t xml:space="preserve">for </w:t>
      </w:r>
      <w:proofErr w:type="spellStart"/>
      <w:r w:rsidRPr="00597D9F">
        <w:rPr>
          <w:lang w:val="en-GB"/>
        </w:rPr>
        <w:t>Hexaboard</w:t>
      </w:r>
      <w:proofErr w:type="spellEnd"/>
      <w:r w:rsidRPr="00597D9F">
        <w:rPr>
          <w:lang w:val="en-GB"/>
        </w:rPr>
        <w:t xml:space="preserve"> with ~200 channels (200 µm and 300 µm </w:t>
      </w:r>
      <w:r w:rsidR="00144250">
        <w:rPr>
          <w:lang w:val="en-GB"/>
        </w:rPr>
        <w:t>thick silicon</w:t>
      </w:r>
      <w:r w:rsidRPr="00597D9F">
        <w:rPr>
          <w:lang w:val="en-GB"/>
        </w:rPr>
        <w:t xml:space="preserve"> sensors) and </w:t>
      </w:r>
      <w:proofErr w:type="spellStart"/>
      <w:r w:rsidRPr="00597D9F">
        <w:rPr>
          <w:lang w:val="en-GB"/>
        </w:rPr>
        <w:t>Tileboards</w:t>
      </w:r>
      <w:proofErr w:type="spellEnd"/>
      <w:r w:rsidRPr="00597D9F">
        <w:rPr>
          <w:lang w:val="en-GB"/>
        </w:rPr>
        <w:t xml:space="preserve"> with ~70 channels</w:t>
      </w:r>
    </w:p>
    <w:p w:rsidR="00597D9F" w:rsidRDefault="00597D9F" w:rsidP="00597D9F">
      <w:pPr>
        <w:pStyle w:val="BodytextIndented"/>
        <w:numPr>
          <w:ilvl w:val="0"/>
          <w:numId w:val="12"/>
        </w:numPr>
        <w:rPr>
          <w:lang w:val="en-GB"/>
        </w:rPr>
      </w:pPr>
      <w:r w:rsidRPr="00597D9F">
        <w:rPr>
          <w:lang w:val="en-GB"/>
        </w:rPr>
        <w:t xml:space="preserve">High Density </w:t>
      </w:r>
      <w:r w:rsidR="008D4A7C">
        <w:rPr>
          <w:lang w:val="en-GB"/>
        </w:rPr>
        <w:t xml:space="preserve">package </w:t>
      </w:r>
      <w:r w:rsidRPr="00597D9F">
        <w:rPr>
          <w:lang w:val="en-GB"/>
        </w:rPr>
        <w:t xml:space="preserve">(0.6 mm pitch) for </w:t>
      </w:r>
      <w:proofErr w:type="spellStart"/>
      <w:r w:rsidRPr="00597D9F">
        <w:rPr>
          <w:lang w:val="en-GB"/>
        </w:rPr>
        <w:t>Hexaboard</w:t>
      </w:r>
      <w:proofErr w:type="spellEnd"/>
      <w:r w:rsidRPr="00597D9F">
        <w:rPr>
          <w:lang w:val="en-GB"/>
        </w:rPr>
        <w:t xml:space="preserve"> with ~400 channels (120 µm </w:t>
      </w:r>
      <w:r w:rsidR="00144250">
        <w:rPr>
          <w:lang w:val="en-GB"/>
        </w:rPr>
        <w:t>thick silicon</w:t>
      </w:r>
      <w:r w:rsidRPr="00597D9F">
        <w:rPr>
          <w:lang w:val="en-GB"/>
        </w:rPr>
        <w:t xml:space="preserve"> sensors)</w:t>
      </w:r>
    </w:p>
    <w:p w:rsidR="00144250" w:rsidRPr="00144250" w:rsidRDefault="00144250" w:rsidP="00567F08">
      <w:pPr>
        <w:pStyle w:val="BodytextIndented"/>
        <w:rPr>
          <w:lang w:val="en-GB"/>
        </w:rPr>
      </w:pPr>
      <w:r w:rsidRPr="00144250">
        <w:rPr>
          <w:lang w:val="en-GB"/>
        </w:rPr>
        <w:t xml:space="preserve">A first characterization board has been </w:t>
      </w:r>
      <w:r>
        <w:rPr>
          <w:lang w:val="en-GB"/>
        </w:rPr>
        <w:t>produced</w:t>
      </w:r>
      <w:r w:rsidRPr="00144250">
        <w:rPr>
          <w:lang w:val="en-GB"/>
        </w:rPr>
        <w:t xml:space="preserve"> </w:t>
      </w:r>
      <w:r>
        <w:rPr>
          <w:lang w:val="en-GB"/>
        </w:rPr>
        <w:t>with</w:t>
      </w:r>
      <w:r w:rsidRPr="00144250">
        <w:rPr>
          <w:lang w:val="en-GB"/>
        </w:rPr>
        <w:t xml:space="preserve"> </w:t>
      </w:r>
      <w:r>
        <w:rPr>
          <w:lang w:val="en-GB"/>
        </w:rPr>
        <w:t>a bare</w:t>
      </w:r>
      <w:r w:rsidRPr="00144250">
        <w:rPr>
          <w:lang w:val="en-GB"/>
        </w:rPr>
        <w:t xml:space="preserve"> chip </w:t>
      </w:r>
      <w:r>
        <w:rPr>
          <w:lang w:val="en-GB"/>
        </w:rPr>
        <w:t>directly</w:t>
      </w:r>
      <w:r w:rsidRPr="00144250">
        <w:rPr>
          <w:lang w:val="en-GB"/>
        </w:rPr>
        <w:t xml:space="preserve"> flipped on a mezzanine</w:t>
      </w:r>
      <w:r w:rsidR="00AF4E81">
        <w:rPr>
          <w:lang w:val="en-GB"/>
        </w:rPr>
        <w:t xml:space="preserve"> (</w:t>
      </w:r>
      <w:proofErr w:type="spellStart"/>
      <w:r w:rsidR="00AF4E81">
        <w:rPr>
          <w:lang w:val="en-GB"/>
        </w:rPr>
        <w:t>FlipChip</w:t>
      </w:r>
      <w:proofErr w:type="spellEnd"/>
      <w:r w:rsidR="00AF4E81">
        <w:rPr>
          <w:lang w:val="en-GB"/>
        </w:rPr>
        <w:t xml:space="preserve"> board)</w:t>
      </w:r>
      <w:r w:rsidR="00ED7BB1">
        <w:rPr>
          <w:lang w:val="en-GB"/>
        </w:rPr>
        <w:t xml:space="preserve"> where </w:t>
      </w:r>
      <w:r w:rsidRPr="00144250">
        <w:rPr>
          <w:lang w:val="en-GB"/>
        </w:rPr>
        <w:t>all power supplies</w:t>
      </w:r>
      <w:r w:rsidR="00ED7BB1">
        <w:rPr>
          <w:lang w:val="en-GB"/>
        </w:rPr>
        <w:t xml:space="preserve"> are kept</w:t>
      </w:r>
      <w:r w:rsidRPr="00144250">
        <w:rPr>
          <w:lang w:val="en-GB"/>
        </w:rPr>
        <w:t xml:space="preserve"> se</w:t>
      </w:r>
      <w:r>
        <w:rPr>
          <w:lang w:val="en-GB"/>
        </w:rPr>
        <w:t>parated</w:t>
      </w:r>
      <w:r w:rsidR="00ED7BB1">
        <w:rPr>
          <w:lang w:val="en-GB"/>
        </w:rPr>
        <w:t xml:space="preserve">, and a very low ground impedance has been achieved by relaxing the design constraints. That makes </w:t>
      </w:r>
      <w:r w:rsidRPr="00144250">
        <w:rPr>
          <w:lang w:val="en-GB"/>
        </w:rPr>
        <w:t xml:space="preserve">possible </w:t>
      </w:r>
      <w:r w:rsidR="00ED7BB1">
        <w:rPr>
          <w:lang w:val="en-GB"/>
        </w:rPr>
        <w:t>the</w:t>
      </w:r>
      <w:r w:rsidR="00AF4E81">
        <w:rPr>
          <w:lang w:val="en-GB"/>
        </w:rPr>
        <w:t xml:space="preserve"> chip</w:t>
      </w:r>
      <w:r w:rsidR="00ED7BB1">
        <w:rPr>
          <w:lang w:val="en-GB"/>
        </w:rPr>
        <w:t xml:space="preserve"> characterization in an ideal environment. This board demonstrates the chip reaches very good performance in terms of noise, crosstalk and digital coupling.</w:t>
      </w:r>
    </w:p>
    <w:p w:rsidR="00597D9F" w:rsidRDefault="00144250" w:rsidP="00470834">
      <w:pPr>
        <w:pStyle w:val="BodytextIndented"/>
        <w:rPr>
          <w:lang w:val="en-GB"/>
        </w:rPr>
      </w:pPr>
      <w:r w:rsidRPr="00144250">
        <w:rPr>
          <w:lang w:val="en-GB"/>
        </w:rPr>
        <w:t>Another board has been developed to validate the operation of the circuit in a BGA</w:t>
      </w:r>
      <w:r w:rsidR="00ED7BB1">
        <w:rPr>
          <w:lang w:val="en-GB"/>
        </w:rPr>
        <w:t xml:space="preserve"> and in a more realistic environment</w:t>
      </w:r>
      <w:r w:rsidR="00AF4E81">
        <w:rPr>
          <w:lang w:val="en-GB"/>
        </w:rPr>
        <w:t xml:space="preserve"> (Single BGA board)</w:t>
      </w:r>
      <w:r w:rsidRPr="00144250">
        <w:rPr>
          <w:lang w:val="en-GB"/>
        </w:rPr>
        <w:t xml:space="preserve">. </w:t>
      </w:r>
      <w:r w:rsidR="00470834">
        <w:rPr>
          <w:lang w:val="en-GB"/>
        </w:rPr>
        <w:t>A</w:t>
      </w:r>
      <w:r w:rsidRPr="00144250">
        <w:rPr>
          <w:lang w:val="en-GB"/>
        </w:rPr>
        <w:t xml:space="preserve"> coupling of the digital clock on th</w:t>
      </w:r>
      <w:r w:rsidR="00470834">
        <w:rPr>
          <w:lang w:val="en-GB"/>
        </w:rPr>
        <w:t xml:space="preserve">e waveforms is visible </w:t>
      </w:r>
      <w:r w:rsidR="00470834">
        <w:rPr>
          <w:lang w:val="en-GB"/>
        </w:rPr>
        <w:lastRenderedPageBreak/>
        <w:t xml:space="preserve">and comes from digital current spikes on preamp ground node. Further </w:t>
      </w:r>
      <w:r w:rsidR="008B6D1E">
        <w:rPr>
          <w:lang w:val="en-GB"/>
        </w:rPr>
        <w:t>details are given in section 3.2</w:t>
      </w:r>
      <w:r w:rsidR="00470834">
        <w:rPr>
          <w:lang w:val="en-GB"/>
        </w:rPr>
        <w:t xml:space="preserve"> of this paper.</w:t>
      </w:r>
    </w:p>
    <w:p w:rsidR="00B6664C" w:rsidRDefault="00FA1E5A" w:rsidP="00B6664C">
      <w:pPr>
        <w:pStyle w:val="titre10"/>
      </w:pPr>
      <w:r>
        <w:t>Charge measurement</w:t>
      </w:r>
    </w:p>
    <w:p w:rsidR="00B6664C" w:rsidRDefault="00FA1E5A" w:rsidP="00B6664C">
      <w:pPr>
        <w:pStyle w:val="titre20"/>
      </w:pPr>
      <w:r>
        <w:t>Linearity performance</w:t>
      </w:r>
    </w:p>
    <w:p w:rsidR="001532E8" w:rsidRDefault="001532E8" w:rsidP="00B6664C">
      <w:pPr>
        <w:pStyle w:val="Bodytext"/>
      </w:pPr>
      <w:r>
        <w:t>In the preamplifier linear range, the charge is provi</w:t>
      </w:r>
      <w:r w:rsidR="009C3E05">
        <w:t>ded by the 10-bit ADC. Figure 3</w:t>
      </w:r>
      <w:r>
        <w:t xml:space="preserve"> shows the linearity of the ADC measurement as a function of the injected charge. The Integral Non Linearity (INL) curves show the linearity remain</w:t>
      </w:r>
      <w:r w:rsidR="00AF4E81">
        <w:t>s</w:t>
      </w:r>
      <w:r>
        <w:t xml:space="preserve"> within 1% of the full dynamic range with 2 ADC counts (~0.3 </w:t>
      </w:r>
      <w:proofErr w:type="spellStart"/>
      <w:r>
        <w:t>fC</w:t>
      </w:r>
      <w:proofErr w:type="spellEnd"/>
      <w:r>
        <w:t>) resolution.</w:t>
      </w:r>
      <w:r w:rsidR="009C3E05">
        <w:t xml:space="preserve"> The uniformity over the full chip is below 1 %: the small difference between the two halves is due the fact that the ADCs </w:t>
      </w:r>
      <w:r w:rsidR="00465D91">
        <w:t xml:space="preserve">are not identical and </w:t>
      </w:r>
      <w:r w:rsidR="009C3E05">
        <w:t>does not have exactly the sam</w:t>
      </w:r>
      <w:r w:rsidR="00465D91">
        <w:t>e LSB.</w:t>
      </w:r>
    </w:p>
    <w:p w:rsidR="00B6664C" w:rsidRDefault="001532E8" w:rsidP="00B6664C">
      <w:pPr>
        <w:pStyle w:val="Bodytext"/>
      </w:pPr>
      <w:r>
        <w:t xml:space="preserve"> </w:t>
      </w:r>
    </w:p>
    <w:p w:rsidR="009C3E05" w:rsidRDefault="009C3E05" w:rsidP="009C3E05">
      <w:pPr>
        <w:pStyle w:val="BodytextIndented"/>
        <w:keepNext/>
        <w:ind w:firstLine="0"/>
        <w:jc w:val="center"/>
      </w:pPr>
      <w:r w:rsidRPr="009C3E05">
        <w:rPr>
          <w:noProof/>
          <w:lang w:val="fr-FR" w:eastAsia="fr-FR"/>
        </w:rPr>
        <w:drawing>
          <wp:inline distT="0" distB="0" distL="0" distR="0" wp14:anchorId="63BEDCD5" wp14:editId="2C2AD4BC">
            <wp:extent cx="5212212" cy="2927335"/>
            <wp:effectExtent l="0" t="0" r="762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0"/>
                    <a:srcRect t="1" b="-3359"/>
                    <a:stretch/>
                  </pic:blipFill>
                  <pic:spPr bwMode="auto">
                    <a:xfrm>
                      <a:off x="0" y="0"/>
                      <a:ext cx="5229786" cy="2937205"/>
                    </a:xfrm>
                    <a:prstGeom prst="rect">
                      <a:avLst/>
                    </a:prstGeom>
                    <a:ln>
                      <a:noFill/>
                    </a:ln>
                    <a:extLst>
                      <a:ext uri="{53640926-AAD7-44D8-BBD7-CCE9431645EC}">
                        <a14:shadowObscured xmlns:a14="http://schemas.microsoft.com/office/drawing/2010/main"/>
                      </a:ext>
                    </a:extLst>
                  </pic:spPr>
                </pic:pic>
              </a:graphicData>
            </a:graphic>
          </wp:inline>
        </w:drawing>
      </w:r>
    </w:p>
    <w:p w:rsidR="00B6664C" w:rsidRPr="009C3E05" w:rsidRDefault="009C3E05" w:rsidP="009C3E05">
      <w:pPr>
        <w:pStyle w:val="Lgende"/>
        <w:jc w:val="center"/>
        <w:rPr>
          <w:color w:val="auto"/>
        </w:rPr>
      </w:pPr>
      <w:r w:rsidRPr="009C3E05">
        <w:rPr>
          <w:color w:val="auto"/>
        </w:rPr>
        <w:t xml:space="preserve">Figure </w:t>
      </w:r>
      <w:r w:rsidRPr="009C3E05">
        <w:rPr>
          <w:color w:val="auto"/>
        </w:rPr>
        <w:fldChar w:fldCharType="begin"/>
      </w:r>
      <w:r w:rsidRPr="009C3E05">
        <w:rPr>
          <w:color w:val="auto"/>
        </w:rPr>
        <w:instrText xml:space="preserve"> SEQ Figure \* ARABIC </w:instrText>
      </w:r>
      <w:r w:rsidRPr="009C3E05">
        <w:rPr>
          <w:color w:val="auto"/>
        </w:rPr>
        <w:fldChar w:fldCharType="separate"/>
      </w:r>
      <w:r w:rsidR="00867E58">
        <w:rPr>
          <w:noProof/>
          <w:color w:val="auto"/>
        </w:rPr>
        <w:t>3</w:t>
      </w:r>
      <w:r w:rsidRPr="009C3E05">
        <w:rPr>
          <w:color w:val="auto"/>
        </w:rPr>
        <w:fldChar w:fldCharType="end"/>
      </w:r>
      <w:r w:rsidRPr="009C3E05">
        <w:rPr>
          <w:color w:val="auto"/>
        </w:rPr>
        <w:t>: ADC measurement. Top left: ADC</w:t>
      </w:r>
      <w:r w:rsidRPr="009C3E05">
        <w:rPr>
          <w:noProof/>
          <w:color w:val="auto"/>
        </w:rPr>
        <w:t xml:space="preserve"> vs. Charge</w:t>
      </w:r>
      <w:r w:rsidR="008430D0">
        <w:rPr>
          <w:noProof/>
          <w:color w:val="auto"/>
        </w:rPr>
        <w:t xml:space="preserve"> for all channels from 1 half</w:t>
      </w:r>
      <w:r w:rsidRPr="009C3E05">
        <w:rPr>
          <w:noProof/>
          <w:color w:val="auto"/>
        </w:rPr>
        <w:t>; Bottom left: INL; Top right: ADC noise vs. charge; Bottom right: ADC gain uniformity for the lower</w:t>
      </w:r>
      <w:r w:rsidR="008430D0">
        <w:rPr>
          <w:noProof/>
          <w:color w:val="auto"/>
        </w:rPr>
        <w:t xml:space="preserve"> (orange)</w:t>
      </w:r>
      <w:r w:rsidRPr="009C3E05">
        <w:rPr>
          <w:noProof/>
          <w:color w:val="auto"/>
        </w:rPr>
        <w:t>, typical</w:t>
      </w:r>
      <w:r w:rsidR="008430D0">
        <w:rPr>
          <w:noProof/>
          <w:color w:val="auto"/>
        </w:rPr>
        <w:t xml:space="preserve"> (blue)</w:t>
      </w:r>
      <w:r w:rsidRPr="009C3E05">
        <w:rPr>
          <w:noProof/>
          <w:color w:val="auto"/>
        </w:rPr>
        <w:t xml:space="preserve"> and higher</w:t>
      </w:r>
      <w:r w:rsidR="008430D0">
        <w:rPr>
          <w:noProof/>
          <w:color w:val="auto"/>
        </w:rPr>
        <w:t xml:space="preserve"> (green)</w:t>
      </w:r>
      <w:r w:rsidRPr="009C3E05">
        <w:rPr>
          <w:noProof/>
          <w:color w:val="auto"/>
        </w:rPr>
        <w:t xml:space="preserve"> preamplifier gains.</w:t>
      </w:r>
    </w:p>
    <w:p w:rsidR="001532E8" w:rsidRDefault="001532E8" w:rsidP="001532E8">
      <w:pPr>
        <w:pStyle w:val="BodytextIndented"/>
      </w:pPr>
      <w:r>
        <w:t>After the preamplifier saturation, the charge is given by measuring the width of the preamplifier output</w:t>
      </w:r>
      <w:r w:rsidR="00465D91">
        <w:t xml:space="preserve"> which gives the </w:t>
      </w:r>
      <w:proofErr w:type="spellStart"/>
      <w:r w:rsidR="00465D91">
        <w:t>ToT</w:t>
      </w:r>
      <w:proofErr w:type="spellEnd"/>
      <w:r w:rsidR="00465D91">
        <w:t>. Figure 4</w:t>
      </w:r>
      <w:r w:rsidR="009C3E05">
        <w:t xml:space="preserve"> shows the </w:t>
      </w:r>
      <w:proofErr w:type="spellStart"/>
      <w:r w:rsidR="009C3E05">
        <w:t>ToT</w:t>
      </w:r>
      <w:proofErr w:type="spellEnd"/>
      <w:r w:rsidR="009C3E05">
        <w:t xml:space="preserve"> linearity as a function of the injected charge, the INL which remains within 2 % of the full dynamic range with around 50 </w:t>
      </w:r>
      <w:proofErr w:type="spellStart"/>
      <w:r w:rsidR="009C3E05">
        <w:t>ps</w:t>
      </w:r>
      <w:proofErr w:type="spellEnd"/>
      <w:r w:rsidR="009C3E05">
        <w:t xml:space="preserve"> (1 LSB) resolution. </w:t>
      </w:r>
      <w:r>
        <w:t xml:space="preserve"> </w:t>
      </w:r>
      <w:r w:rsidR="00AF4E81">
        <w:t>Some residual wiggles are visible on the INL which are due to digital clock coupling</w:t>
      </w:r>
      <w:r w:rsidR="0058704C">
        <w:t xml:space="preserve"> </w:t>
      </w:r>
      <w:r w:rsidR="008D4A7C">
        <w:t>on</w:t>
      </w:r>
      <w:r w:rsidR="0058704C">
        <w:t xml:space="preserve"> the channel inputs </w:t>
      </w:r>
      <w:r w:rsidR="008D4A7C">
        <w:t>passing</w:t>
      </w:r>
      <w:r w:rsidR="0058704C">
        <w:t xml:space="preserve"> through the PCB ground. Also s</w:t>
      </w:r>
      <w:r w:rsidR="00465D91">
        <w:t xml:space="preserve">ome peaks appear in the resolutions which come from outliers. Indeed, the TDC goes sometimes wrong when converting the time, this effect has been understood, reproduced in simulation and corrected in the next version of the chip. </w:t>
      </w:r>
    </w:p>
    <w:p w:rsidR="00B6664C" w:rsidRDefault="00B6664C" w:rsidP="009C3E05">
      <w:pPr>
        <w:pStyle w:val="BodytextIndented"/>
        <w:ind w:firstLine="0"/>
      </w:pPr>
    </w:p>
    <w:p w:rsidR="009C3E05" w:rsidRDefault="009C3E05" w:rsidP="009C3E05">
      <w:pPr>
        <w:pStyle w:val="BodytextIndented"/>
        <w:keepNext/>
        <w:ind w:firstLine="0"/>
        <w:jc w:val="center"/>
      </w:pPr>
      <w:r w:rsidRPr="009C3E05">
        <w:rPr>
          <w:noProof/>
          <w:lang w:val="fr-FR" w:eastAsia="fr-FR"/>
        </w:rPr>
        <w:drawing>
          <wp:inline distT="0" distB="0" distL="0" distR="0" wp14:anchorId="7506C0D2" wp14:editId="1F202949">
            <wp:extent cx="5178194" cy="1385457"/>
            <wp:effectExtent l="0" t="0" r="3810" b="5715"/>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
                    <a:stretch>
                      <a:fillRect/>
                    </a:stretch>
                  </pic:blipFill>
                  <pic:spPr>
                    <a:xfrm>
                      <a:off x="0" y="0"/>
                      <a:ext cx="5253866" cy="1405704"/>
                    </a:xfrm>
                    <a:prstGeom prst="rect">
                      <a:avLst/>
                    </a:prstGeom>
                  </pic:spPr>
                </pic:pic>
              </a:graphicData>
            </a:graphic>
          </wp:inline>
        </w:drawing>
      </w:r>
    </w:p>
    <w:p w:rsidR="009C3E05" w:rsidRPr="00465D91" w:rsidRDefault="009C3E05" w:rsidP="00465D91">
      <w:pPr>
        <w:pStyle w:val="Lgende"/>
        <w:jc w:val="center"/>
        <w:rPr>
          <w:color w:val="auto"/>
        </w:rPr>
      </w:pPr>
      <w:r w:rsidRPr="009C3E05">
        <w:rPr>
          <w:color w:val="auto"/>
        </w:rPr>
        <w:t xml:space="preserve">Figure </w:t>
      </w:r>
      <w:r w:rsidRPr="009C3E05">
        <w:rPr>
          <w:color w:val="auto"/>
        </w:rPr>
        <w:fldChar w:fldCharType="begin"/>
      </w:r>
      <w:r w:rsidRPr="009C3E05">
        <w:rPr>
          <w:color w:val="auto"/>
        </w:rPr>
        <w:instrText xml:space="preserve"> SEQ Figure \* ARABIC </w:instrText>
      </w:r>
      <w:r w:rsidRPr="009C3E05">
        <w:rPr>
          <w:color w:val="auto"/>
        </w:rPr>
        <w:fldChar w:fldCharType="separate"/>
      </w:r>
      <w:r w:rsidR="00867E58">
        <w:rPr>
          <w:noProof/>
          <w:color w:val="auto"/>
        </w:rPr>
        <w:t>4</w:t>
      </w:r>
      <w:r w:rsidRPr="009C3E05">
        <w:rPr>
          <w:color w:val="auto"/>
        </w:rPr>
        <w:fldChar w:fldCharType="end"/>
      </w:r>
      <w:r w:rsidRPr="009C3E05">
        <w:rPr>
          <w:color w:val="auto"/>
        </w:rPr>
        <w:t xml:space="preserve">: </w:t>
      </w:r>
      <w:proofErr w:type="spellStart"/>
      <w:r w:rsidRPr="009C3E05">
        <w:rPr>
          <w:color w:val="auto"/>
        </w:rPr>
        <w:t>ToT</w:t>
      </w:r>
      <w:proofErr w:type="spellEnd"/>
      <w:r w:rsidRPr="009C3E05">
        <w:rPr>
          <w:color w:val="auto"/>
        </w:rPr>
        <w:t xml:space="preserve"> measurement</w:t>
      </w:r>
      <w:r w:rsidR="008430D0">
        <w:rPr>
          <w:color w:val="auto"/>
        </w:rPr>
        <w:t xml:space="preserve"> for all channels from 1 half</w:t>
      </w:r>
      <w:r w:rsidRPr="009C3E05">
        <w:rPr>
          <w:color w:val="auto"/>
        </w:rPr>
        <w:t xml:space="preserve">. Left: INL; Right: </w:t>
      </w:r>
      <w:proofErr w:type="spellStart"/>
      <w:r w:rsidRPr="009C3E05">
        <w:rPr>
          <w:color w:val="auto"/>
        </w:rPr>
        <w:t>ToT</w:t>
      </w:r>
      <w:proofErr w:type="spellEnd"/>
      <w:r w:rsidRPr="009C3E05">
        <w:rPr>
          <w:color w:val="auto"/>
        </w:rPr>
        <w:t xml:space="preserve"> jitter</w:t>
      </w:r>
    </w:p>
    <w:p w:rsidR="0095451B" w:rsidRDefault="00A94F19" w:rsidP="0095451B">
      <w:pPr>
        <w:pStyle w:val="titre20"/>
      </w:pPr>
      <w:r>
        <w:lastRenderedPageBreak/>
        <w:t>Noise performance</w:t>
      </w:r>
    </w:p>
    <w:p w:rsidR="0095451B" w:rsidRDefault="0095451B" w:rsidP="0095451B">
      <w:pPr>
        <w:pStyle w:val="BodytextIndented"/>
        <w:ind w:firstLine="0"/>
      </w:pPr>
      <w:r>
        <w:rPr>
          <w:lang w:val="en-GB"/>
        </w:rPr>
        <w:t>T</w:t>
      </w:r>
      <w:r>
        <w:t xml:space="preserve">he noise performance is one of the most important parameter for a chip dedicated to calorimeter. The series noise whose main contributor is the preamplifier input transistor depends on the detector capacitance value. From the measurements shown in Figure 5, we calculate a series noise of 0.7 </w:t>
      </w:r>
      <w:proofErr w:type="spellStart"/>
      <w:r>
        <w:t>nV</w:t>
      </w:r>
      <w:proofErr w:type="spellEnd"/>
      <w:r>
        <w:t xml:space="preserve">/√Hz with a preamplifier input capacitance of 6 pF in accordance with the simulations and the specifications. </w:t>
      </w:r>
    </w:p>
    <w:p w:rsidR="0095451B" w:rsidRDefault="0095451B" w:rsidP="00B6664C">
      <w:pPr>
        <w:pStyle w:val="BodytextIndented"/>
      </w:pPr>
    </w:p>
    <w:p w:rsidR="00B21CE7" w:rsidRDefault="00B6664C" w:rsidP="00B21CE7">
      <w:pPr>
        <w:pStyle w:val="BodytextIndented"/>
        <w:keepNext/>
        <w:jc w:val="center"/>
      </w:pPr>
      <w:r w:rsidRPr="00B6664C">
        <w:rPr>
          <w:noProof/>
          <w:lang w:val="fr-FR" w:eastAsia="fr-FR"/>
        </w:rPr>
        <w:drawing>
          <wp:inline distT="0" distB="0" distL="0" distR="0" wp14:anchorId="5589412B" wp14:editId="0D95EEE8">
            <wp:extent cx="3643745" cy="1979139"/>
            <wp:effectExtent l="0" t="0" r="0" b="2540"/>
            <wp:docPr id="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0"/>
                      <a:ext cx="3657262" cy="1986481"/>
                    </a:xfrm>
                    <a:prstGeom prst="rect">
                      <a:avLst/>
                    </a:prstGeom>
                  </pic:spPr>
                </pic:pic>
              </a:graphicData>
            </a:graphic>
          </wp:inline>
        </w:drawing>
      </w:r>
    </w:p>
    <w:p w:rsidR="00B6664C" w:rsidRPr="00B21CE7" w:rsidRDefault="00B21CE7" w:rsidP="0058704C">
      <w:pPr>
        <w:pStyle w:val="Lgende"/>
        <w:jc w:val="center"/>
        <w:rPr>
          <w:color w:val="auto"/>
        </w:rPr>
      </w:pPr>
      <w:r w:rsidRPr="00B21CE7">
        <w:rPr>
          <w:color w:val="auto"/>
        </w:rPr>
        <w:t xml:space="preserve">Figure </w:t>
      </w:r>
      <w:r w:rsidRPr="00B21CE7">
        <w:rPr>
          <w:color w:val="auto"/>
        </w:rPr>
        <w:fldChar w:fldCharType="begin"/>
      </w:r>
      <w:r w:rsidRPr="00B21CE7">
        <w:rPr>
          <w:color w:val="auto"/>
        </w:rPr>
        <w:instrText xml:space="preserve"> SEQ Figure \* ARABIC </w:instrText>
      </w:r>
      <w:r w:rsidRPr="00B21CE7">
        <w:rPr>
          <w:color w:val="auto"/>
        </w:rPr>
        <w:fldChar w:fldCharType="separate"/>
      </w:r>
      <w:r w:rsidR="00867E58">
        <w:rPr>
          <w:noProof/>
          <w:color w:val="auto"/>
        </w:rPr>
        <w:t>5</w:t>
      </w:r>
      <w:r w:rsidRPr="00B21CE7">
        <w:rPr>
          <w:color w:val="auto"/>
        </w:rPr>
        <w:fldChar w:fldCharType="end"/>
      </w:r>
      <w:r w:rsidRPr="00B21CE7">
        <w:rPr>
          <w:color w:val="auto"/>
        </w:rPr>
        <w:t>: Equivalent Noise Charge (ENC) in electrons with respect to the input capacitance for the lower</w:t>
      </w:r>
      <w:r w:rsidR="008430D0">
        <w:rPr>
          <w:color w:val="auto"/>
        </w:rPr>
        <w:t xml:space="preserve"> (orange)</w:t>
      </w:r>
      <w:r w:rsidRPr="00B21CE7">
        <w:rPr>
          <w:color w:val="auto"/>
        </w:rPr>
        <w:t>, typical</w:t>
      </w:r>
      <w:r w:rsidR="008430D0">
        <w:rPr>
          <w:color w:val="auto"/>
        </w:rPr>
        <w:t xml:space="preserve"> (blue)</w:t>
      </w:r>
      <w:r w:rsidRPr="00B21CE7">
        <w:rPr>
          <w:color w:val="auto"/>
        </w:rPr>
        <w:t xml:space="preserve"> and higher</w:t>
      </w:r>
      <w:r w:rsidR="008430D0">
        <w:rPr>
          <w:color w:val="auto"/>
        </w:rPr>
        <w:t xml:space="preserve"> (green)</w:t>
      </w:r>
      <w:r w:rsidRPr="00B21CE7">
        <w:rPr>
          <w:color w:val="auto"/>
        </w:rPr>
        <w:t xml:space="preserve"> preamplifier gains.</w:t>
      </w:r>
      <w:r w:rsidR="0058704C">
        <w:rPr>
          <w:color w:val="auto"/>
        </w:rPr>
        <w:t xml:space="preserve"> The dashed black curve is a simulation corresponding to the typical gain configuration at room temperature and is in accordance to the corresponding measurement of the blue curve.</w:t>
      </w:r>
    </w:p>
    <w:p w:rsidR="0095451B" w:rsidRDefault="0095451B" w:rsidP="00D8159B">
      <w:pPr>
        <w:pStyle w:val="BodytextIndented"/>
      </w:pPr>
      <w:r>
        <w:t>In the final system, the high voltage, nee</w:t>
      </w:r>
      <w:r w:rsidR="00A053D8">
        <w:t xml:space="preserve">ded to bias the silicon sensor, as well as both power supplies and ground </w:t>
      </w:r>
      <w:r w:rsidR="00664B3E">
        <w:t>impedance</w:t>
      </w:r>
      <w:r w:rsidR="008D4A7C">
        <w:t>s</w:t>
      </w:r>
      <w:r w:rsidR="00A053D8">
        <w:t xml:space="preserve"> </w:t>
      </w:r>
      <w:r>
        <w:t>could be important coherent noise source</w:t>
      </w:r>
      <w:r w:rsidR="00A053D8">
        <w:t>s</w:t>
      </w:r>
      <w:r w:rsidR="00466982">
        <w:t>. It is therefore</w:t>
      </w:r>
      <w:r>
        <w:t xml:space="preserve"> </w:t>
      </w:r>
      <w:r w:rsidR="008D4A7C">
        <w:t>mandatory</w:t>
      </w:r>
      <w:r w:rsidR="00466982">
        <w:t xml:space="preserve"> to check the noise performance at chip level and to identify the critical constraints for the module design. </w:t>
      </w:r>
      <w:r w:rsidR="00A053D8">
        <w:t xml:space="preserve"> A first way to check the presence of coherent noise is to look at the correlation matrix which shows how much the noise from each channel is correlated to any others channels. The matrix in</w:t>
      </w:r>
      <w:r w:rsidR="00664B3E">
        <w:t xml:space="preserve"> Figure 6</w:t>
      </w:r>
      <w:r w:rsidR="00DE4805">
        <w:t xml:space="preserve"> shows that there is</w:t>
      </w:r>
      <w:r w:rsidR="00A053D8">
        <w:t xml:space="preserve"> small correlation</w:t>
      </w:r>
      <w:r w:rsidR="00DE4805">
        <w:t xml:space="preserve"> coefficient</w:t>
      </w:r>
      <w:r w:rsidR="00664B3E">
        <w:t>,</w:t>
      </w:r>
      <w:r w:rsidR="00DE4805">
        <w:t xml:space="preserve"> below 0.1</w:t>
      </w:r>
      <w:r w:rsidR="00664B3E">
        <w:t>,</w:t>
      </w:r>
      <w:r w:rsidR="00A053D8">
        <w:t xml:space="preserve"> between channels from the same half and no correlation between channels from different halves. This result is achieved with both </w:t>
      </w:r>
      <w:proofErr w:type="spellStart"/>
      <w:r w:rsidR="00A053D8">
        <w:t>FlipChip</w:t>
      </w:r>
      <w:proofErr w:type="spellEnd"/>
      <w:r w:rsidR="00AF4E81">
        <w:t xml:space="preserve"> board and low-d</w:t>
      </w:r>
      <w:r w:rsidR="00A053D8">
        <w:t xml:space="preserve">ensity BGA package. </w:t>
      </w:r>
      <w:r w:rsidR="00664B3E">
        <w:t>With high-density BGA package the correlation coefficient increases up to 0.15. In order to furthermore quantify the coherent noise contribution, we can extract it b</w:t>
      </w:r>
      <w:r>
        <w:t>y comparing direct (</w:t>
      </w:r>
      <m:oMath>
        <m:r>
          <w:rPr>
            <w:rFonts w:ascii="Cambria Math" w:hAnsi="Cambria Math"/>
          </w:rPr>
          <m:t>DS</m:t>
        </m:r>
        <m:r>
          <m:rPr>
            <m:sty m:val="p"/>
          </m:rPr>
          <w:rPr>
            <w:rFonts w:ascii="Cambria Math" w:hAnsi="Cambria Math"/>
          </w:rPr>
          <m:t xml:space="preserve">=Σ </m:t>
        </m:r>
        <m:r>
          <w:rPr>
            <w:rFonts w:ascii="Cambria Math" w:hAnsi="Cambria Math"/>
          </w:rPr>
          <m:t>c</m:t>
        </m:r>
        <m:sSub>
          <m:sSubPr>
            <m:ctrlPr>
              <w:rPr>
                <w:rFonts w:ascii="Cambria Math" w:hAnsi="Cambria Math"/>
              </w:rPr>
            </m:ctrlPr>
          </m:sSubPr>
          <m:e>
            <m:r>
              <w:rPr>
                <w:rFonts w:ascii="Cambria Math" w:hAnsi="Cambria Math"/>
              </w:rPr>
              <m:t>h</m:t>
            </m:r>
          </m:e>
          <m:sub>
            <m:r>
              <w:rPr>
                <w:rFonts w:ascii="Cambria Math" w:hAnsi="Cambria Math"/>
              </w:rPr>
              <m:t>i</m:t>
            </m:r>
          </m:sub>
        </m:sSub>
      </m:oMath>
      <w:r>
        <w:t>) and alternate (</w:t>
      </w:r>
      <m:oMath>
        <m:r>
          <w:rPr>
            <w:rFonts w:ascii="Cambria Math" w:hAnsi="Cambria Math"/>
          </w:rPr>
          <m:t>AS</m:t>
        </m:r>
        <m:r>
          <m:rPr>
            <m:sty m:val="p"/>
          </m:rPr>
          <w:rPr>
            <w:rFonts w:ascii="Cambria Math" w:hAnsi="Cambria Math"/>
          </w:rPr>
          <m:t xml:space="preserve">=Σ </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e>
            </m:d>
          </m:e>
          <m:sup>
            <m:r>
              <w:rPr>
                <w:rFonts w:ascii="Cambria Math" w:hAnsi="Cambria Math"/>
              </w:rPr>
              <m:t>i</m:t>
            </m:r>
          </m:sup>
        </m:sSup>
        <m:r>
          <w:rPr>
            <w:rFonts w:ascii="Cambria Math" w:hAnsi="Cambria Math"/>
          </w:rPr>
          <m:t>c</m:t>
        </m:r>
        <m:sSub>
          <m:sSubPr>
            <m:ctrlPr>
              <w:rPr>
                <w:rFonts w:ascii="Cambria Math" w:hAnsi="Cambria Math"/>
              </w:rPr>
            </m:ctrlPr>
          </m:sSubPr>
          <m:e>
            <m:r>
              <w:rPr>
                <w:rFonts w:ascii="Cambria Math" w:hAnsi="Cambria Math"/>
              </w:rPr>
              <m:t>h</m:t>
            </m:r>
          </m:e>
          <m:sub>
            <m:r>
              <w:rPr>
                <w:rFonts w:ascii="Cambria Math" w:hAnsi="Cambria Math"/>
              </w:rPr>
              <m:t>i</m:t>
            </m:r>
          </m:sub>
        </m:sSub>
      </m:oMath>
      <w:r>
        <w:t xml:space="preserve">) sums of the </w:t>
      </w:r>
      <m:oMath>
        <m:r>
          <w:rPr>
            <w:rFonts w:ascii="Cambria Math" w:hAnsi="Cambria Math"/>
          </w:rPr>
          <m:t>n</m:t>
        </m:r>
        <m:r>
          <m:rPr>
            <m:sty m:val="p"/>
          </m:rPr>
          <w:rPr>
            <w:rFonts w:ascii="Cambria Math" w:hAnsi="Cambria Math"/>
          </w:rPr>
          <m:t>=72</m:t>
        </m:r>
      </m:oMath>
      <w:r>
        <w:t xml:space="preserve"> channels, the incoherent</w:t>
      </w:r>
      <w:r w:rsidR="00664B3E">
        <w:t xml:space="preserve"> noise is then expressed as </w:t>
      </w:r>
      <m:oMath>
        <m:r>
          <w:rPr>
            <w:rFonts w:ascii="Cambria Math" w:hAnsi="Cambria Math"/>
          </w:rPr>
          <m:t>IN</m:t>
        </m:r>
        <m:r>
          <m:rPr>
            <m:sty m:val="p"/>
          </m:rPr>
          <w:rPr>
            <w:rFonts w:ascii="Cambria Math" w:hAnsi="Cambria Math"/>
          </w:rPr>
          <m:t>=</m:t>
        </m:r>
        <m:r>
          <w:rPr>
            <w:rFonts w:ascii="Cambria Math" w:hAnsi="Cambria Math"/>
          </w:rPr>
          <m:t>rms</m:t>
        </m:r>
        <m:r>
          <m:rPr>
            <m:sty m:val="p"/>
          </m:rPr>
          <w:rPr>
            <w:rFonts w:ascii="Cambria Math" w:hAnsi="Cambria Math"/>
          </w:rPr>
          <m:t>(</m:t>
        </m:r>
        <m:r>
          <w:rPr>
            <w:rFonts w:ascii="Cambria Math" w:hAnsi="Cambria Math"/>
          </w:rPr>
          <m:t>AS</m:t>
        </m:r>
        <m:r>
          <m:rPr>
            <m:sty m:val="p"/>
          </m:rPr>
          <w:rPr>
            <w:rFonts w:ascii="Cambria Math" w:hAnsi="Cambria Math"/>
          </w:rPr>
          <m:t>)/</m:t>
        </m:r>
        <m:rad>
          <m:radPr>
            <m:degHide m:val="1"/>
            <m:ctrlPr>
              <w:rPr>
                <w:rFonts w:ascii="Cambria Math" w:hAnsi="Cambria Math"/>
              </w:rPr>
            </m:ctrlPr>
          </m:radPr>
          <m:deg/>
          <m:e>
            <m:r>
              <w:rPr>
                <w:rFonts w:ascii="Cambria Math" w:hAnsi="Cambria Math"/>
              </w:rPr>
              <m:t>n</m:t>
            </m:r>
          </m:e>
        </m:rad>
      </m:oMath>
      <w:r>
        <w:t xml:space="preserve"> and </w:t>
      </w:r>
      <w:r w:rsidR="00664B3E">
        <w:t xml:space="preserve">the </w:t>
      </w:r>
      <w:r>
        <w:t>coherent</w:t>
      </w:r>
      <w:r w:rsidR="00664B3E">
        <w:t xml:space="preserve"> noise </w:t>
      </w:r>
      <w:proofErr w:type="gramStart"/>
      <w:r w:rsidR="00664B3E">
        <w:t xml:space="preserve">as </w:t>
      </w:r>
      <w:proofErr w:type="gramEnd"/>
      <m:oMath>
        <m:r>
          <w:rPr>
            <w:rFonts w:ascii="Cambria Math" w:hAnsi="Cambria Math"/>
          </w:rPr>
          <m:t>CN</m:t>
        </m:r>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rms</m:t>
                </m:r>
                <m:sSup>
                  <m:sSupPr>
                    <m:ctrlPr>
                      <w:rPr>
                        <w:rFonts w:ascii="Cambria Math" w:hAnsi="Cambria Math"/>
                      </w:rPr>
                    </m:ctrlPr>
                  </m:sSupPr>
                  <m:e>
                    <m:d>
                      <m:dPr>
                        <m:ctrlPr>
                          <w:rPr>
                            <w:rFonts w:ascii="Cambria Math" w:hAnsi="Cambria Math"/>
                          </w:rPr>
                        </m:ctrlPr>
                      </m:dPr>
                      <m:e>
                        <m:r>
                          <w:rPr>
                            <w:rFonts w:ascii="Cambria Math" w:hAnsi="Cambria Math"/>
                          </w:rPr>
                          <m:t>DS</m:t>
                        </m:r>
                      </m:e>
                    </m:d>
                  </m:e>
                  <m:sup>
                    <m:r>
                      <m:rPr>
                        <m:sty m:val="p"/>
                      </m:rPr>
                      <w:rPr>
                        <w:rFonts w:ascii="Cambria Math" w:hAnsi="Cambria Math"/>
                      </w:rPr>
                      <m:t>2</m:t>
                    </m:r>
                  </m:sup>
                </m:sSup>
                <m:r>
                  <m:rPr>
                    <m:sty m:val="p"/>
                  </m:rPr>
                  <w:rPr>
                    <w:rFonts w:ascii="Cambria Math" w:hAnsi="Cambria Math"/>
                  </w:rPr>
                  <m:t>-</m:t>
                </m:r>
                <m:r>
                  <w:rPr>
                    <w:rFonts w:ascii="Cambria Math" w:hAnsi="Cambria Math"/>
                  </w:rPr>
                  <m:t>rms</m:t>
                </m:r>
                <m:sSup>
                  <m:sSupPr>
                    <m:ctrlPr>
                      <w:rPr>
                        <w:rFonts w:ascii="Cambria Math" w:hAnsi="Cambria Math"/>
                      </w:rPr>
                    </m:ctrlPr>
                  </m:sSupPr>
                  <m:e>
                    <m:d>
                      <m:dPr>
                        <m:ctrlPr>
                          <w:rPr>
                            <w:rFonts w:ascii="Cambria Math" w:hAnsi="Cambria Math"/>
                          </w:rPr>
                        </m:ctrlPr>
                      </m:dPr>
                      <m:e>
                        <m:r>
                          <w:rPr>
                            <w:rFonts w:ascii="Cambria Math" w:hAnsi="Cambria Math"/>
                          </w:rPr>
                          <m:t>AS</m:t>
                        </m:r>
                      </m:e>
                    </m:d>
                  </m:e>
                  <m:sup>
                    <m:r>
                      <m:rPr>
                        <m:sty m:val="p"/>
                      </m:rPr>
                      <w:rPr>
                        <w:rFonts w:ascii="Cambria Math" w:hAnsi="Cambria Math"/>
                      </w:rPr>
                      <m:t>2</m:t>
                    </m:r>
                  </m:sup>
                </m:sSup>
              </m:e>
            </m:rad>
          </m:num>
          <m:den>
            <m:r>
              <w:rPr>
                <w:rFonts w:ascii="Cambria Math" w:hAnsi="Cambria Math"/>
              </w:rPr>
              <m:t>n</m:t>
            </m:r>
          </m:den>
        </m:f>
      </m:oMath>
      <w:r>
        <w:t xml:space="preserve">. </w:t>
      </w:r>
      <w:r w:rsidR="00664B3E">
        <w:t>We find for low-density BGA package 1.6 ADC units incoherent noise and 0.3 ADC units coherent noise while for the high-density BGA package, coherent noise is 0.42 ADC units.</w:t>
      </w:r>
      <w:r w:rsidR="0058704C">
        <w:t xml:space="preserve"> On </w:t>
      </w:r>
      <w:proofErr w:type="spellStart"/>
      <w:r w:rsidR="0058704C">
        <w:t>FlipChip</w:t>
      </w:r>
      <w:proofErr w:type="spellEnd"/>
      <w:r w:rsidR="0058704C">
        <w:t xml:space="preserve"> board and </w:t>
      </w:r>
      <w:r w:rsidR="008D4A7C">
        <w:t>on</w:t>
      </w:r>
      <w:r w:rsidR="0058704C">
        <w:t xml:space="preserve"> low-density BGA package, the noise performance are as expected, close to the expected performance; </w:t>
      </w:r>
      <w:r w:rsidR="008D4A7C">
        <w:t>on</w:t>
      </w:r>
      <w:r w:rsidR="0058704C">
        <w:t xml:space="preserve"> high-density BGA package, the degraded performance due to higher coherent noise demonstrates the need to optimize the PCB grounding and the power supply decoupling.</w:t>
      </w:r>
    </w:p>
    <w:p w:rsidR="00B21CE7" w:rsidRDefault="00136E50" w:rsidP="00B21CE7">
      <w:pPr>
        <w:pStyle w:val="BodytextIndented"/>
        <w:keepNext/>
        <w:jc w:val="center"/>
      </w:pPr>
      <w:r w:rsidRPr="00136E50">
        <w:rPr>
          <w:noProof/>
          <w:lang w:val="fr-FR" w:eastAsia="fr-FR"/>
        </w:rPr>
        <w:drawing>
          <wp:inline distT="0" distB="0" distL="0" distR="0" wp14:anchorId="0F8B862C" wp14:editId="22AF2DCD">
            <wp:extent cx="4536791" cy="1765004"/>
            <wp:effectExtent l="0" t="0" r="0" b="6985"/>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3"/>
                    <a:stretch>
                      <a:fillRect/>
                    </a:stretch>
                  </pic:blipFill>
                  <pic:spPr>
                    <a:xfrm>
                      <a:off x="0" y="0"/>
                      <a:ext cx="4673874" cy="1818335"/>
                    </a:xfrm>
                    <a:prstGeom prst="rect">
                      <a:avLst/>
                    </a:prstGeom>
                  </pic:spPr>
                </pic:pic>
              </a:graphicData>
            </a:graphic>
          </wp:inline>
        </w:drawing>
      </w:r>
    </w:p>
    <w:p w:rsidR="00B6664C" w:rsidRPr="00136E50" w:rsidRDefault="00B21CE7" w:rsidP="00136E50">
      <w:pPr>
        <w:pStyle w:val="Lgende"/>
        <w:jc w:val="center"/>
        <w:rPr>
          <w:color w:val="auto"/>
        </w:rPr>
      </w:pPr>
      <w:r w:rsidRPr="00B21CE7">
        <w:rPr>
          <w:color w:val="auto"/>
        </w:rPr>
        <w:t xml:space="preserve">Figure </w:t>
      </w:r>
      <w:r w:rsidRPr="00B21CE7">
        <w:rPr>
          <w:color w:val="auto"/>
        </w:rPr>
        <w:fldChar w:fldCharType="begin"/>
      </w:r>
      <w:r w:rsidRPr="00B21CE7">
        <w:rPr>
          <w:color w:val="auto"/>
        </w:rPr>
        <w:instrText xml:space="preserve"> SEQ Figure \* ARABIC </w:instrText>
      </w:r>
      <w:r w:rsidRPr="00B21CE7">
        <w:rPr>
          <w:color w:val="auto"/>
        </w:rPr>
        <w:fldChar w:fldCharType="separate"/>
      </w:r>
      <w:r w:rsidR="00867E58">
        <w:rPr>
          <w:noProof/>
          <w:color w:val="auto"/>
        </w:rPr>
        <w:t>6</w:t>
      </w:r>
      <w:r w:rsidRPr="00B21CE7">
        <w:rPr>
          <w:color w:val="auto"/>
        </w:rPr>
        <w:fldChar w:fldCharType="end"/>
      </w:r>
      <w:r w:rsidRPr="00B21CE7">
        <w:rPr>
          <w:color w:val="auto"/>
        </w:rPr>
        <w:t>: Noise analysis. Top left: correlation matrix; Top right: Direct an</w:t>
      </w:r>
      <w:r w:rsidR="008430D0">
        <w:rPr>
          <w:color w:val="auto"/>
        </w:rPr>
        <w:t>d Alternate sums distribution.</w:t>
      </w:r>
    </w:p>
    <w:p w:rsidR="00B6664C" w:rsidRPr="00214E74" w:rsidRDefault="00DE262A" w:rsidP="00214E74">
      <w:pPr>
        <w:pStyle w:val="BodytextIndented"/>
        <w:rPr>
          <w:lang w:val="en-GB"/>
        </w:rPr>
      </w:pPr>
      <w:r>
        <w:rPr>
          <w:lang w:val="en-GB"/>
        </w:rPr>
        <w:lastRenderedPageBreak/>
        <w:t xml:space="preserve">The previous noise discussion focused on the ADC noise but at a constant phase with respect to the 40 MHz digital clock. By scanning the </w:t>
      </w:r>
      <w:r w:rsidR="00983826">
        <w:rPr>
          <w:lang w:val="en-GB"/>
        </w:rPr>
        <w:t xml:space="preserve">ADC </w:t>
      </w:r>
      <w:r>
        <w:rPr>
          <w:lang w:val="en-GB"/>
        </w:rPr>
        <w:t xml:space="preserve">sampling phase, by step of 1.5625 ns, the waveform can be reconstructed and the digital-induced effects are then appearing. </w:t>
      </w:r>
      <w:r w:rsidR="00214E74">
        <w:rPr>
          <w:lang w:val="en-GB"/>
        </w:rPr>
        <w:t>A</w:t>
      </w:r>
      <w:r>
        <w:rPr>
          <w:lang w:val="en-GB"/>
        </w:rPr>
        <w:t xml:space="preserve"> 40 MHz modulation </w:t>
      </w:r>
      <w:r w:rsidR="00214E74">
        <w:rPr>
          <w:lang w:val="en-GB"/>
        </w:rPr>
        <w:t xml:space="preserve">can be seen </w:t>
      </w:r>
      <w:r>
        <w:rPr>
          <w:lang w:val="en-GB"/>
        </w:rPr>
        <w:t>on the pedestal with the Single high-density BGA board</w:t>
      </w:r>
      <w:r w:rsidR="00214E74">
        <w:rPr>
          <w:lang w:val="en-GB"/>
        </w:rPr>
        <w:t xml:space="preserve">: </w:t>
      </w:r>
      <w:r>
        <w:rPr>
          <w:lang w:val="en-GB"/>
        </w:rPr>
        <w:t>30 ADC counts</w:t>
      </w:r>
      <w:r w:rsidR="00214E74">
        <w:rPr>
          <w:lang w:val="en-GB"/>
        </w:rPr>
        <w:t xml:space="preserve"> amplitude which corresponds to 3 </w:t>
      </w:r>
      <w:proofErr w:type="gramStart"/>
      <w:r w:rsidR="00214E74">
        <w:rPr>
          <w:lang w:val="en-GB"/>
        </w:rPr>
        <w:t>MIPs</w:t>
      </w:r>
      <w:proofErr w:type="gramEnd"/>
      <w:r w:rsidR="00214E74">
        <w:rPr>
          <w:lang w:val="en-GB"/>
        </w:rPr>
        <w:t>;</w:t>
      </w:r>
      <w:r>
        <w:rPr>
          <w:lang w:val="en-GB"/>
        </w:rPr>
        <w:t xml:space="preserve"> but nothing appears on the </w:t>
      </w:r>
      <w:proofErr w:type="spellStart"/>
      <w:r>
        <w:rPr>
          <w:lang w:val="en-GB"/>
        </w:rPr>
        <w:t>FlipChip</w:t>
      </w:r>
      <w:proofErr w:type="spellEnd"/>
      <w:r>
        <w:rPr>
          <w:lang w:val="en-GB"/>
        </w:rPr>
        <w:t xml:space="preserve"> board. After having </w:t>
      </w:r>
      <w:r w:rsidR="00214E74">
        <w:rPr>
          <w:lang w:val="en-GB"/>
        </w:rPr>
        <w:t xml:space="preserve">optimized the grounding and the digital power supply decoupling, the modulation has been reduced by a factor 10. </w:t>
      </w:r>
      <w:r w:rsidR="00983826">
        <w:rPr>
          <w:lang w:val="en-GB"/>
        </w:rPr>
        <w:t xml:space="preserve">This modulation comes from digital current spikes on preamplifier ground node. Due to the values of the input capacitor (50 pF) and the preamplifier gain, there is a gain of 100 between the preamplifier output and the preamplifier ground. And therefore 10 µV on ground give 1 ADC count. It is the reason why the PCB must have a very low ground impedance. Furthermore, the decoupling capacitance on the digital power supply is critical. Detailed studies have been carried out on this digital coupling and have provided recommendations for </w:t>
      </w:r>
      <w:proofErr w:type="spellStart"/>
      <w:r w:rsidR="00983826">
        <w:rPr>
          <w:lang w:val="en-GB"/>
        </w:rPr>
        <w:t>hexaboard</w:t>
      </w:r>
      <w:proofErr w:type="spellEnd"/>
      <w:r w:rsidR="00983826">
        <w:rPr>
          <w:lang w:val="en-GB"/>
        </w:rPr>
        <w:t xml:space="preserve"> designs. </w:t>
      </w:r>
    </w:p>
    <w:p w:rsidR="00B6664C" w:rsidRPr="00B6664C" w:rsidRDefault="00A94F19" w:rsidP="00136E50">
      <w:pPr>
        <w:pStyle w:val="titre10"/>
      </w:pPr>
      <w:r w:rsidRPr="00A94F19">
        <w:t>Timing measurement</w:t>
      </w:r>
    </w:p>
    <w:p w:rsidR="00A94F19" w:rsidRDefault="00B6664C" w:rsidP="00A94F19">
      <w:pPr>
        <w:pStyle w:val="titre20"/>
      </w:pPr>
      <w:r>
        <w:t>Time walk profile</w:t>
      </w:r>
    </w:p>
    <w:p w:rsidR="00B6664C" w:rsidRDefault="00983826" w:rsidP="00B6664C">
      <w:pPr>
        <w:pStyle w:val="Bodytext"/>
      </w:pPr>
      <w:r>
        <w:t xml:space="preserve">The lower charge providing a </w:t>
      </w:r>
      <w:proofErr w:type="spellStart"/>
      <w:r>
        <w:t>ToA</w:t>
      </w:r>
      <w:proofErr w:type="spellEnd"/>
      <w:r>
        <w:t xml:space="preserve"> measurement is around 20 </w:t>
      </w:r>
      <w:proofErr w:type="spellStart"/>
      <w:r>
        <w:t>fC</w:t>
      </w:r>
      <w:proofErr w:type="spellEnd"/>
      <w:r>
        <w:t xml:space="preserve"> which is limited by the digital coupling. A Time Walk of 5 ns is achieved with 50 pF input capacitance. </w:t>
      </w:r>
    </w:p>
    <w:p w:rsidR="008430D0" w:rsidRDefault="00C849FC" w:rsidP="008430D0">
      <w:pPr>
        <w:pStyle w:val="BodytextIndented"/>
        <w:keepNext/>
        <w:jc w:val="center"/>
      </w:pPr>
      <w:r>
        <w:rPr>
          <w:noProof/>
          <w:lang w:val="fr-FR" w:eastAsia="fr-FR"/>
        </w:rPr>
        <w:drawing>
          <wp:inline distT="0" distB="0" distL="0" distR="0" wp14:anchorId="753EFDDE">
            <wp:extent cx="4482226" cy="17923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17"/>
                    <a:stretch/>
                  </pic:blipFill>
                  <pic:spPr bwMode="auto">
                    <a:xfrm>
                      <a:off x="0" y="0"/>
                      <a:ext cx="4550704" cy="1819775"/>
                    </a:xfrm>
                    <a:prstGeom prst="rect">
                      <a:avLst/>
                    </a:prstGeom>
                    <a:noFill/>
                    <a:ln>
                      <a:noFill/>
                    </a:ln>
                    <a:extLst>
                      <a:ext uri="{53640926-AAD7-44D8-BBD7-CCE9431645EC}">
                        <a14:shadowObscured xmlns:a14="http://schemas.microsoft.com/office/drawing/2010/main"/>
                      </a:ext>
                    </a:extLst>
                  </pic:spPr>
                </pic:pic>
              </a:graphicData>
            </a:graphic>
          </wp:inline>
        </w:drawing>
      </w:r>
    </w:p>
    <w:p w:rsidR="00B6664C" w:rsidRPr="008430D0" w:rsidRDefault="008430D0" w:rsidP="008430D0">
      <w:pPr>
        <w:pStyle w:val="Lgende"/>
        <w:jc w:val="center"/>
        <w:rPr>
          <w:color w:val="auto"/>
        </w:rPr>
      </w:pPr>
      <w:r w:rsidRPr="008430D0">
        <w:rPr>
          <w:color w:val="auto"/>
        </w:rPr>
        <w:t xml:space="preserve">Figure </w:t>
      </w:r>
      <w:r w:rsidRPr="008430D0">
        <w:rPr>
          <w:color w:val="auto"/>
        </w:rPr>
        <w:fldChar w:fldCharType="begin"/>
      </w:r>
      <w:r w:rsidRPr="008430D0">
        <w:rPr>
          <w:color w:val="auto"/>
        </w:rPr>
        <w:instrText xml:space="preserve"> SEQ Figure \* ARABIC </w:instrText>
      </w:r>
      <w:r w:rsidRPr="008430D0">
        <w:rPr>
          <w:color w:val="auto"/>
        </w:rPr>
        <w:fldChar w:fldCharType="separate"/>
      </w:r>
      <w:r w:rsidR="00867E58">
        <w:rPr>
          <w:noProof/>
          <w:color w:val="auto"/>
        </w:rPr>
        <w:t>7</w:t>
      </w:r>
      <w:r w:rsidRPr="008430D0">
        <w:rPr>
          <w:color w:val="auto"/>
        </w:rPr>
        <w:fldChar w:fldCharType="end"/>
      </w:r>
      <w:r w:rsidRPr="008430D0">
        <w:rPr>
          <w:color w:val="auto"/>
        </w:rPr>
        <w:t xml:space="preserve">: Timing analysis. </w:t>
      </w:r>
      <w:r w:rsidR="00C849FC">
        <w:rPr>
          <w:color w:val="auto"/>
        </w:rPr>
        <w:t>Left</w:t>
      </w:r>
      <w:r w:rsidRPr="008430D0">
        <w:rPr>
          <w:color w:val="auto"/>
        </w:rPr>
        <w:t>: time walk profile</w:t>
      </w:r>
      <w:r w:rsidRPr="008430D0">
        <w:rPr>
          <w:noProof/>
          <w:color w:val="auto"/>
        </w:rPr>
        <w:t xml:space="preserve">. </w:t>
      </w:r>
      <w:r w:rsidR="00C849FC">
        <w:rPr>
          <w:noProof/>
          <w:color w:val="auto"/>
        </w:rPr>
        <w:t>Top right</w:t>
      </w:r>
      <w:r w:rsidRPr="008430D0">
        <w:rPr>
          <w:noProof/>
          <w:color w:val="auto"/>
        </w:rPr>
        <w:t>: 'a' parameter of the fit. Bo</w:t>
      </w:r>
      <w:r w:rsidR="00C849FC">
        <w:rPr>
          <w:noProof/>
          <w:color w:val="auto"/>
        </w:rPr>
        <w:t>ttom right: 'b' paramater of the fit</w:t>
      </w:r>
      <w:r w:rsidRPr="008430D0">
        <w:rPr>
          <w:noProof/>
          <w:color w:val="auto"/>
        </w:rPr>
        <w:t>.</w:t>
      </w:r>
    </w:p>
    <w:p w:rsidR="00B6664C" w:rsidRPr="00B6664C" w:rsidRDefault="00983826" w:rsidP="00983826">
      <w:pPr>
        <w:pStyle w:val="BodytextIndented"/>
      </w:pPr>
      <w:r>
        <w:t xml:space="preserve">The Time Walk profile can be fit in order to find the parameters needed to make the </w:t>
      </w:r>
      <w:r w:rsidR="009B266C">
        <w:t>timing reconstruction. Figure 7</w:t>
      </w:r>
      <w:r>
        <w:t xml:space="preserve"> shows the distribution of the fit parameters and the pattern is due to the fact that the TDC clocks are coming from the middle of each half.</w:t>
      </w:r>
    </w:p>
    <w:p w:rsidR="00A94F19" w:rsidRDefault="00A94F19" w:rsidP="00A94F19">
      <w:pPr>
        <w:pStyle w:val="titre20"/>
      </w:pPr>
      <w:r w:rsidRPr="00A94F19">
        <w:t>Timing resolution</w:t>
      </w:r>
    </w:p>
    <w:p w:rsidR="00B6664C" w:rsidRDefault="006F2DD2" w:rsidP="00B6664C">
      <w:pPr>
        <w:pStyle w:val="Bodytext"/>
      </w:pPr>
      <w:r>
        <w:t xml:space="preserve">Regarding the </w:t>
      </w:r>
      <w:proofErr w:type="spellStart"/>
      <w:r>
        <w:t>ToA</w:t>
      </w:r>
      <w:proofErr w:type="spellEnd"/>
      <w:r>
        <w:t xml:space="preserve"> jitter, and so the timing resolution, between 90 </w:t>
      </w:r>
      <w:proofErr w:type="spellStart"/>
      <w:r>
        <w:t>ps</w:t>
      </w:r>
      <w:proofErr w:type="spellEnd"/>
      <w:r>
        <w:t xml:space="preserve"> and 150 </w:t>
      </w:r>
      <w:proofErr w:type="spellStart"/>
      <w:r>
        <w:t>ps</w:t>
      </w:r>
      <w:proofErr w:type="spellEnd"/>
      <w:r>
        <w:t xml:space="preserve"> resolution is achieved for the lower charge around 20 </w:t>
      </w:r>
      <w:proofErr w:type="spellStart"/>
      <w:r>
        <w:t>fC</w:t>
      </w:r>
      <w:proofErr w:type="spellEnd"/>
      <w:r>
        <w:t xml:space="preserve">. After 100 </w:t>
      </w:r>
      <w:proofErr w:type="spellStart"/>
      <w:r>
        <w:t>fC</w:t>
      </w:r>
      <w:proofErr w:type="spellEnd"/>
      <w:r>
        <w:t xml:space="preserve">, the resolution goes down around 22 ps. </w:t>
      </w:r>
    </w:p>
    <w:p w:rsidR="008430D0" w:rsidRDefault="00C849FC" w:rsidP="008430D0">
      <w:pPr>
        <w:pStyle w:val="BodytextIndented"/>
        <w:keepNext/>
        <w:jc w:val="center"/>
      </w:pPr>
      <w:r>
        <w:rPr>
          <w:noProof/>
          <w:lang w:val="fr-FR" w:eastAsia="fr-FR"/>
        </w:rPr>
        <w:drawing>
          <wp:inline distT="0" distB="0" distL="0" distR="0" wp14:anchorId="5798AA76">
            <wp:extent cx="4785948" cy="18224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13" b="1"/>
                    <a:stretch/>
                  </pic:blipFill>
                  <pic:spPr bwMode="auto">
                    <a:xfrm>
                      <a:off x="0" y="0"/>
                      <a:ext cx="4850216" cy="1846923"/>
                    </a:xfrm>
                    <a:prstGeom prst="rect">
                      <a:avLst/>
                    </a:prstGeom>
                    <a:noFill/>
                    <a:ln>
                      <a:noFill/>
                    </a:ln>
                    <a:extLst>
                      <a:ext uri="{53640926-AAD7-44D8-BBD7-CCE9431645EC}">
                        <a14:shadowObscured xmlns:a14="http://schemas.microsoft.com/office/drawing/2010/main"/>
                      </a:ext>
                    </a:extLst>
                  </pic:spPr>
                </pic:pic>
              </a:graphicData>
            </a:graphic>
          </wp:inline>
        </w:drawing>
      </w:r>
    </w:p>
    <w:p w:rsidR="00FA1E5A" w:rsidRPr="008430D0" w:rsidRDefault="008430D0" w:rsidP="008430D0">
      <w:pPr>
        <w:pStyle w:val="Lgende"/>
        <w:jc w:val="center"/>
        <w:rPr>
          <w:color w:val="auto"/>
          <w:lang w:val="en-US"/>
        </w:rPr>
      </w:pPr>
      <w:r w:rsidRPr="008430D0">
        <w:rPr>
          <w:color w:val="auto"/>
        </w:rPr>
        <w:t xml:space="preserve">Figure </w:t>
      </w:r>
      <w:r w:rsidRPr="008430D0">
        <w:rPr>
          <w:color w:val="auto"/>
        </w:rPr>
        <w:fldChar w:fldCharType="begin"/>
      </w:r>
      <w:r w:rsidRPr="008430D0">
        <w:rPr>
          <w:color w:val="auto"/>
        </w:rPr>
        <w:instrText xml:space="preserve"> SEQ Figure \* ARABIC </w:instrText>
      </w:r>
      <w:r w:rsidRPr="008430D0">
        <w:rPr>
          <w:color w:val="auto"/>
        </w:rPr>
        <w:fldChar w:fldCharType="separate"/>
      </w:r>
      <w:r w:rsidR="00867E58">
        <w:rPr>
          <w:noProof/>
          <w:color w:val="auto"/>
        </w:rPr>
        <w:t>8</w:t>
      </w:r>
      <w:r w:rsidRPr="008430D0">
        <w:rPr>
          <w:color w:val="auto"/>
        </w:rPr>
        <w:fldChar w:fldCharType="end"/>
      </w:r>
      <w:r w:rsidRPr="008430D0">
        <w:rPr>
          <w:color w:val="auto"/>
        </w:rPr>
        <w:t xml:space="preserve">: </w:t>
      </w:r>
      <w:proofErr w:type="spellStart"/>
      <w:r w:rsidRPr="008430D0">
        <w:rPr>
          <w:color w:val="auto"/>
        </w:rPr>
        <w:t>ToA</w:t>
      </w:r>
      <w:proofErr w:type="spellEnd"/>
      <w:r w:rsidRPr="008430D0">
        <w:rPr>
          <w:color w:val="auto"/>
        </w:rPr>
        <w:t xml:space="preserve"> jitter. </w:t>
      </w:r>
      <w:r w:rsidR="00C849FC">
        <w:rPr>
          <w:color w:val="auto"/>
        </w:rPr>
        <w:t>Left</w:t>
      </w:r>
      <w:r w:rsidRPr="008430D0">
        <w:rPr>
          <w:color w:val="auto"/>
        </w:rPr>
        <w:t xml:space="preserve">: </w:t>
      </w:r>
      <w:proofErr w:type="spellStart"/>
      <w:r w:rsidRPr="008430D0">
        <w:rPr>
          <w:color w:val="auto"/>
        </w:rPr>
        <w:t>ToA</w:t>
      </w:r>
      <w:proofErr w:type="spellEnd"/>
      <w:r w:rsidRPr="008430D0">
        <w:rPr>
          <w:color w:val="auto"/>
        </w:rPr>
        <w:t xml:space="preserve"> jitter vs. charge. </w:t>
      </w:r>
      <w:r w:rsidR="00C849FC">
        <w:rPr>
          <w:color w:val="auto"/>
        </w:rPr>
        <w:t>Top right</w:t>
      </w:r>
      <w:r w:rsidRPr="008430D0">
        <w:rPr>
          <w:color w:val="auto"/>
        </w:rPr>
        <w:t>: 'a' parameter of the fi</w:t>
      </w:r>
      <w:r w:rsidR="00C849FC">
        <w:rPr>
          <w:color w:val="auto"/>
        </w:rPr>
        <w:t>t. Bottom right</w:t>
      </w:r>
      <w:r w:rsidRPr="008430D0">
        <w:rPr>
          <w:color w:val="auto"/>
        </w:rPr>
        <w:t>: 'b' parameter of the fit.</w:t>
      </w:r>
    </w:p>
    <w:p w:rsidR="00FA1E5A" w:rsidRDefault="00DA13E6" w:rsidP="00DA13E6">
      <w:pPr>
        <w:pStyle w:val="titre10"/>
      </w:pPr>
      <w:proofErr w:type="spellStart"/>
      <w:r>
        <w:lastRenderedPageBreak/>
        <w:t>SiPM</w:t>
      </w:r>
      <w:proofErr w:type="spellEnd"/>
      <w:r>
        <w:t xml:space="preserve"> version</w:t>
      </w:r>
    </w:p>
    <w:p w:rsidR="00B6664C" w:rsidRDefault="006F2DD2" w:rsidP="00B6664C">
      <w:pPr>
        <w:pStyle w:val="Bodytext"/>
      </w:pPr>
      <w:r>
        <w:t xml:space="preserve">The </w:t>
      </w:r>
      <w:proofErr w:type="spellStart"/>
      <w:r>
        <w:t>SiPM</w:t>
      </w:r>
      <w:proofErr w:type="spellEnd"/>
      <w:r>
        <w:t xml:space="preserve">-version is roughly the silicon-version with an input current conveyor placed in front of the preamplifier. This conveyor is based on a low impedance common gate structure, an input DAC for the overvoltage adjustment to </w:t>
      </w:r>
      <w:r w:rsidR="00C15D12">
        <w:t>tune</w:t>
      </w:r>
      <w:r>
        <w:t xml:space="preserve"> the </w:t>
      </w:r>
      <w:proofErr w:type="spellStart"/>
      <w:r>
        <w:t>SiPM</w:t>
      </w:r>
      <w:proofErr w:type="spellEnd"/>
      <w:r>
        <w:t xml:space="preserve"> gain, and a stage of current mirror to </w:t>
      </w:r>
      <w:r w:rsidR="00C15D12">
        <w:t>adapt</w:t>
      </w:r>
      <w:r>
        <w:t xml:space="preserve"> the conveyor gain. Some others minor changes have been done on the preamplifier to make it compatible with the 2.5 power supply voltage of the conveyor. </w:t>
      </w:r>
    </w:p>
    <w:p w:rsidR="009B266C" w:rsidRDefault="009B266C" w:rsidP="009B266C">
      <w:pPr>
        <w:pStyle w:val="BodytextIndented"/>
        <w:keepNext/>
        <w:jc w:val="center"/>
      </w:pPr>
      <w:r>
        <w:rPr>
          <w:noProof/>
          <w:lang w:val="fr-FR" w:eastAsia="fr-FR"/>
        </w:rPr>
        <w:drawing>
          <wp:inline distT="0" distB="0" distL="0" distR="0" wp14:anchorId="7A5F6539" wp14:editId="38BB2309">
            <wp:extent cx="3059228" cy="2118939"/>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586" b="-1058"/>
                    <a:stretch/>
                  </pic:blipFill>
                  <pic:spPr bwMode="auto">
                    <a:xfrm>
                      <a:off x="0" y="0"/>
                      <a:ext cx="3098190" cy="2145925"/>
                    </a:xfrm>
                    <a:prstGeom prst="rect">
                      <a:avLst/>
                    </a:prstGeom>
                    <a:noFill/>
                    <a:ln>
                      <a:noFill/>
                    </a:ln>
                    <a:extLst>
                      <a:ext uri="{53640926-AAD7-44D8-BBD7-CCE9431645EC}">
                        <a14:shadowObscured xmlns:a14="http://schemas.microsoft.com/office/drawing/2010/main"/>
                      </a:ext>
                    </a:extLst>
                  </pic:spPr>
                </pic:pic>
              </a:graphicData>
            </a:graphic>
          </wp:inline>
        </w:drawing>
      </w:r>
    </w:p>
    <w:p w:rsidR="009B266C" w:rsidRPr="009B266C" w:rsidRDefault="009B266C" w:rsidP="009B266C">
      <w:pPr>
        <w:pStyle w:val="Lgende"/>
        <w:jc w:val="center"/>
        <w:rPr>
          <w:color w:val="auto"/>
        </w:rPr>
      </w:pPr>
      <w:r w:rsidRPr="009B266C">
        <w:rPr>
          <w:color w:val="auto"/>
        </w:rPr>
        <w:t xml:space="preserve">Figure </w:t>
      </w:r>
      <w:r w:rsidRPr="009B266C">
        <w:rPr>
          <w:color w:val="auto"/>
        </w:rPr>
        <w:fldChar w:fldCharType="begin"/>
      </w:r>
      <w:r w:rsidRPr="009B266C">
        <w:rPr>
          <w:color w:val="auto"/>
        </w:rPr>
        <w:instrText xml:space="preserve"> SEQ Figure \* ARABIC </w:instrText>
      </w:r>
      <w:r w:rsidRPr="009B266C">
        <w:rPr>
          <w:color w:val="auto"/>
        </w:rPr>
        <w:fldChar w:fldCharType="separate"/>
      </w:r>
      <w:r w:rsidR="00867E58">
        <w:rPr>
          <w:noProof/>
          <w:color w:val="auto"/>
        </w:rPr>
        <w:t>9</w:t>
      </w:r>
      <w:r w:rsidRPr="009B266C">
        <w:rPr>
          <w:color w:val="auto"/>
        </w:rPr>
        <w:fldChar w:fldCharType="end"/>
      </w:r>
      <w:r w:rsidRPr="009B266C">
        <w:rPr>
          <w:color w:val="auto"/>
        </w:rPr>
        <w:t>: Single-Photon Spectrum (SPS)</w:t>
      </w:r>
    </w:p>
    <w:p w:rsidR="009B266C" w:rsidRPr="00B6664C" w:rsidRDefault="006F2DD2" w:rsidP="00FC7AA4">
      <w:pPr>
        <w:pStyle w:val="BodytextIndented"/>
      </w:pPr>
      <w:r w:rsidRPr="006F2DD2">
        <w:t xml:space="preserve">This chip has been tested on the </w:t>
      </w:r>
      <w:proofErr w:type="spellStart"/>
      <w:r w:rsidRPr="006F2DD2">
        <w:t>tileboard</w:t>
      </w:r>
      <w:proofErr w:type="spellEnd"/>
      <w:r w:rsidRPr="006F2DD2">
        <w:t xml:space="preserve"> and in beam test. </w:t>
      </w:r>
      <w:r>
        <w:t>T</w:t>
      </w:r>
      <w:r w:rsidRPr="006F2DD2">
        <w:t xml:space="preserve">he Single-Photon Spectra </w:t>
      </w:r>
      <w:r w:rsidR="00CD2F36">
        <w:t>has been measured b</w:t>
      </w:r>
      <w:r w:rsidRPr="006F2DD2">
        <w:t xml:space="preserve">y injecting light from a LED implemented on the </w:t>
      </w:r>
      <w:proofErr w:type="spellStart"/>
      <w:r w:rsidRPr="006F2DD2">
        <w:t>tileboard</w:t>
      </w:r>
      <w:proofErr w:type="spellEnd"/>
      <w:r w:rsidRPr="006F2DD2">
        <w:t>,</w:t>
      </w:r>
      <w:r w:rsidR="00CD2F36">
        <w:t xml:space="preserve"> a gain around 10 ADC counts per fired pixels has been obtained</w:t>
      </w:r>
      <w:r w:rsidR="009B266C">
        <w:t xml:space="preserve"> as shown in Figure 9</w:t>
      </w:r>
      <w:r w:rsidR="00CD2F36">
        <w:t>.</w:t>
      </w:r>
    </w:p>
    <w:p w:rsidR="009A0487" w:rsidRDefault="00A94F19">
      <w:pPr>
        <w:pStyle w:val="Section"/>
      </w:pPr>
      <w:r>
        <w:t>Trigger path</w:t>
      </w:r>
    </w:p>
    <w:p w:rsidR="00B6664C" w:rsidRDefault="009B266C" w:rsidP="009B266C">
      <w:pPr>
        <w:pStyle w:val="Bodytext"/>
        <w:rPr>
          <w:lang w:val="en-GB"/>
        </w:rPr>
      </w:pPr>
      <w:r>
        <w:rPr>
          <w:lang w:val="en-GB"/>
        </w:rPr>
        <w:t xml:space="preserve">A perfect agreement between charge from the DAQ path and compressed charge from the trigger path has been found. </w:t>
      </w:r>
      <w:r w:rsidR="00CD2F36" w:rsidRPr="00CD2F36">
        <w:rPr>
          <w:lang w:val="en-GB"/>
        </w:rPr>
        <w:t xml:space="preserve">This is requested to find all the parameters needed for the trigger path processing: the </w:t>
      </w:r>
      <w:proofErr w:type="spellStart"/>
      <w:proofErr w:type="gramStart"/>
      <w:r w:rsidR="00CD2F36" w:rsidRPr="00CD2F36">
        <w:rPr>
          <w:lang w:val="en-GB"/>
        </w:rPr>
        <w:t>adc</w:t>
      </w:r>
      <w:proofErr w:type="spellEnd"/>
      <w:proofErr w:type="gramEnd"/>
      <w:r w:rsidR="00CD2F36" w:rsidRPr="00CD2F36">
        <w:rPr>
          <w:lang w:val="en-GB"/>
        </w:rPr>
        <w:t xml:space="preserve"> pedestal value for each channel, the tot pedestal, the tot threshold, the multiplication factor, etc.</w:t>
      </w:r>
    </w:p>
    <w:p w:rsidR="00A94F19" w:rsidRDefault="00B6664C" w:rsidP="00DA13E6">
      <w:pPr>
        <w:pStyle w:val="titre10"/>
        <w:rPr>
          <w:iCs w:val="0"/>
        </w:rPr>
      </w:pPr>
      <w:r>
        <w:rPr>
          <w:iCs w:val="0"/>
        </w:rPr>
        <w:t xml:space="preserve">Temperature mitigation, </w:t>
      </w:r>
      <w:r w:rsidR="00DA13E6" w:rsidRPr="00DA13E6">
        <w:rPr>
          <w:iCs w:val="0"/>
        </w:rPr>
        <w:t>TID and SEE</w:t>
      </w:r>
    </w:p>
    <w:p w:rsidR="00B6664C" w:rsidRDefault="00CD2F36" w:rsidP="00CD2F36">
      <w:pPr>
        <w:pStyle w:val="Bodytext"/>
      </w:pPr>
      <w:r>
        <w:t xml:space="preserve">Since the full analog chain is DC coupled from the preamplifier input to the shaper output, a temperature sensitivity mitigation is mandatory. The </w:t>
      </w:r>
      <w:proofErr w:type="spellStart"/>
      <w:r>
        <w:t>bandgap</w:t>
      </w:r>
      <w:proofErr w:type="spellEnd"/>
      <w:r>
        <w:t xml:space="preserve"> value moves over 2 mV between -40°C and </w:t>
      </w:r>
      <w:r w:rsidR="00C15D12">
        <w:t>+</w:t>
      </w:r>
      <w:r>
        <w:t>40°C, but with a lower shift around -20°C. The pedestals move around 1 ADC count per degree at room temperature, but around 0.4 ADC count per degree around -30°C. It would be around 5 ADC count per degree without mitigation. The gain does not move with temperature.</w:t>
      </w:r>
    </w:p>
    <w:p w:rsidR="00CD2F36" w:rsidRPr="00CD2F36" w:rsidRDefault="00CD2F36" w:rsidP="00CD2F36">
      <w:pPr>
        <w:pStyle w:val="BodytextIndented"/>
      </w:pPr>
      <w:r>
        <w:t xml:space="preserve">Both Silicon version and </w:t>
      </w:r>
      <w:proofErr w:type="spellStart"/>
      <w:r>
        <w:t>SiPM</w:t>
      </w:r>
      <w:proofErr w:type="spellEnd"/>
      <w:r>
        <w:t xml:space="preserve"> version have been tested in TID campaigns: one at room temperature up to 300Mrad on the silicon chip, another one at cold, around 0°C. And one TID campaign has been performed on the </w:t>
      </w:r>
      <w:proofErr w:type="spellStart"/>
      <w:r>
        <w:t>SiPM</w:t>
      </w:r>
      <w:proofErr w:type="spellEnd"/>
      <w:r>
        <w:t xml:space="preserve"> chip up to 5 </w:t>
      </w:r>
      <w:proofErr w:type="spellStart"/>
      <w:r>
        <w:t>Mrad</w:t>
      </w:r>
      <w:proofErr w:type="spellEnd"/>
      <w:r>
        <w:t xml:space="preserve"> at ro</w:t>
      </w:r>
      <w:r w:rsidR="009B266C">
        <w:t>om temperature. On the Figure 10, measurements from the second</w:t>
      </w:r>
      <w:r>
        <w:t xml:space="preserve"> silicon-version campaign at cold are shown: the PLL frequency as a function of the VCO input voltage is shown on the left, there is a higher shift after 1 </w:t>
      </w:r>
      <w:proofErr w:type="spellStart"/>
      <w:r>
        <w:t>Mrad</w:t>
      </w:r>
      <w:proofErr w:type="spellEnd"/>
      <w:r>
        <w:t xml:space="preserve"> but that still works up to 300 </w:t>
      </w:r>
      <w:proofErr w:type="spellStart"/>
      <w:r>
        <w:t>Mrad</w:t>
      </w:r>
      <w:proofErr w:type="spellEnd"/>
      <w:r>
        <w:t xml:space="preserve">. The ADC as a function of the charge after 300 </w:t>
      </w:r>
      <w:proofErr w:type="spellStart"/>
      <w:r>
        <w:t>Mrad</w:t>
      </w:r>
      <w:proofErr w:type="spellEnd"/>
      <w:r>
        <w:t xml:space="preserve"> is shown on the right: no obvious difference with the pre-rad behavior is visible. The chip still works after irradiation, and for some blocks which have shown some weakness after 100 </w:t>
      </w:r>
      <w:proofErr w:type="spellStart"/>
      <w:r>
        <w:t>Mrad</w:t>
      </w:r>
      <w:proofErr w:type="spellEnd"/>
      <w:r>
        <w:t xml:space="preserve"> at room temperature, they recover good behavior after annealing.</w:t>
      </w:r>
    </w:p>
    <w:p w:rsidR="00B6664C" w:rsidRDefault="00B6664C" w:rsidP="00B6664C">
      <w:pPr>
        <w:pStyle w:val="BodytextIndented"/>
      </w:pPr>
    </w:p>
    <w:p w:rsidR="004F07E7" w:rsidRDefault="00B6664C" w:rsidP="004F07E7">
      <w:pPr>
        <w:pStyle w:val="BodytextIndented"/>
        <w:keepNext/>
        <w:jc w:val="center"/>
      </w:pPr>
      <w:r w:rsidRPr="00B6664C">
        <w:rPr>
          <w:noProof/>
          <w:lang w:val="fr-FR" w:eastAsia="fr-FR"/>
        </w:rPr>
        <w:lastRenderedPageBreak/>
        <w:drawing>
          <wp:inline distT="0" distB="0" distL="0" distR="0" wp14:anchorId="1DA55C68" wp14:editId="6BD6C7D6">
            <wp:extent cx="4615008" cy="1747608"/>
            <wp:effectExtent l="0" t="0" r="0" b="5080"/>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a:stretch>
                      <a:fillRect/>
                    </a:stretch>
                  </pic:blipFill>
                  <pic:spPr>
                    <a:xfrm>
                      <a:off x="0" y="0"/>
                      <a:ext cx="4765528" cy="1804607"/>
                    </a:xfrm>
                    <a:prstGeom prst="rect">
                      <a:avLst/>
                    </a:prstGeom>
                  </pic:spPr>
                </pic:pic>
              </a:graphicData>
            </a:graphic>
          </wp:inline>
        </w:drawing>
      </w:r>
    </w:p>
    <w:p w:rsidR="00B6664C" w:rsidRPr="004F07E7" w:rsidRDefault="004F07E7" w:rsidP="004F07E7">
      <w:pPr>
        <w:pStyle w:val="Lgende"/>
        <w:jc w:val="center"/>
        <w:rPr>
          <w:color w:val="auto"/>
        </w:rPr>
      </w:pPr>
      <w:r w:rsidRPr="004F07E7">
        <w:rPr>
          <w:color w:val="auto"/>
        </w:rPr>
        <w:t xml:space="preserve">Figure </w:t>
      </w:r>
      <w:r w:rsidRPr="004F07E7">
        <w:rPr>
          <w:color w:val="auto"/>
        </w:rPr>
        <w:fldChar w:fldCharType="begin"/>
      </w:r>
      <w:r w:rsidRPr="004F07E7">
        <w:rPr>
          <w:color w:val="auto"/>
        </w:rPr>
        <w:instrText xml:space="preserve"> SEQ Figure \* ARABIC </w:instrText>
      </w:r>
      <w:r w:rsidRPr="004F07E7">
        <w:rPr>
          <w:color w:val="auto"/>
        </w:rPr>
        <w:fldChar w:fldCharType="separate"/>
      </w:r>
      <w:r w:rsidR="00867E58">
        <w:rPr>
          <w:noProof/>
          <w:color w:val="auto"/>
        </w:rPr>
        <w:t>10</w:t>
      </w:r>
      <w:r w:rsidRPr="004F07E7">
        <w:rPr>
          <w:color w:val="auto"/>
        </w:rPr>
        <w:fldChar w:fldCharType="end"/>
      </w:r>
      <w:r>
        <w:rPr>
          <w:color w:val="auto"/>
        </w:rPr>
        <w:t xml:space="preserve">: TID results </w:t>
      </w:r>
      <w:r w:rsidRPr="004F07E7">
        <w:rPr>
          <w:color w:val="auto"/>
        </w:rPr>
        <w:t>at cold o</w:t>
      </w:r>
      <w:r>
        <w:rPr>
          <w:color w:val="auto"/>
        </w:rPr>
        <w:t>n the Si-version. Left: PLL freq.</w:t>
      </w:r>
      <w:r w:rsidRPr="004F07E7">
        <w:rPr>
          <w:color w:val="auto"/>
        </w:rPr>
        <w:t xml:space="preserve"> vs. VCO voltage. Right: ADC vs. charge after 300 </w:t>
      </w:r>
      <w:proofErr w:type="spellStart"/>
      <w:r w:rsidRPr="004F07E7">
        <w:rPr>
          <w:color w:val="auto"/>
        </w:rPr>
        <w:t>Mrad</w:t>
      </w:r>
      <w:proofErr w:type="spellEnd"/>
      <w:r w:rsidRPr="004F07E7">
        <w:rPr>
          <w:color w:val="auto"/>
        </w:rPr>
        <w:t>.</w:t>
      </w:r>
    </w:p>
    <w:p w:rsidR="00B6664C" w:rsidRDefault="00CD2F36" w:rsidP="00CD2F36">
      <w:pPr>
        <w:pStyle w:val="BodytextIndented"/>
      </w:pPr>
      <w:r>
        <w:t xml:space="preserve">Two times, the chip has been tested against Single Event Effect (SEE) at Louvain with heavy ions. The I2C registers react as expected with a flip rate below 2E-7 Hz/chip. Some bit shifting have been observed in both memory pointers and DAQ links, but it is not surprising because these parts have not been triplicated on this version of the chip. </w:t>
      </w:r>
    </w:p>
    <w:p w:rsidR="003E6810" w:rsidRPr="00B6664C" w:rsidRDefault="003E6810" w:rsidP="00CD2F36">
      <w:pPr>
        <w:pStyle w:val="BodytextIndented"/>
      </w:pPr>
    </w:p>
    <w:p w:rsidR="00A94F19" w:rsidRDefault="00A94F19" w:rsidP="00A94F19">
      <w:pPr>
        <w:pStyle w:val="Section"/>
        <w:rPr>
          <w:iCs w:val="0"/>
        </w:rPr>
      </w:pPr>
      <w:r w:rsidRPr="00A94F19">
        <w:rPr>
          <w:iCs w:val="0"/>
        </w:rPr>
        <w:t>Conclusion</w:t>
      </w:r>
    </w:p>
    <w:p w:rsidR="00FC7AA4" w:rsidRDefault="00FC7AA4" w:rsidP="00FC7AA4">
      <w:pPr>
        <w:pStyle w:val="Bodytext"/>
        <w:rPr>
          <w:lang w:val="en-GB"/>
        </w:rPr>
      </w:pPr>
      <w:r w:rsidRPr="00FC7AA4">
        <w:rPr>
          <w:lang w:val="en-GB"/>
        </w:rPr>
        <w:t xml:space="preserve">With HGCROC2, a big step has been taken to reach the HGCAL’s requirements. It is probably one of the most complex chips ever designed for imaging </w:t>
      </w:r>
      <w:proofErr w:type="spellStart"/>
      <w:r w:rsidRPr="00FC7AA4">
        <w:rPr>
          <w:lang w:val="en-GB"/>
        </w:rPr>
        <w:t>calorimetry</w:t>
      </w:r>
      <w:proofErr w:type="spellEnd"/>
      <w:r w:rsidRPr="00FC7AA4">
        <w:rPr>
          <w:lang w:val="en-GB"/>
        </w:rPr>
        <w:t>: high dynamic charge, precision timing measurements, high speed links, a lot of digital, harsh radiat</w:t>
      </w:r>
      <w:r>
        <w:rPr>
          <w:lang w:val="en-GB"/>
        </w:rPr>
        <w:t xml:space="preserve">ion environment. </w:t>
      </w:r>
    </w:p>
    <w:p w:rsidR="00FC7AA4" w:rsidRDefault="00FC7AA4" w:rsidP="00FC7AA4">
      <w:pPr>
        <w:pStyle w:val="Bodytext"/>
        <w:ind w:firstLine="284"/>
        <w:rPr>
          <w:lang w:val="en-GB"/>
        </w:rPr>
      </w:pPr>
      <w:r w:rsidRPr="00FC7AA4">
        <w:rPr>
          <w:lang w:val="en-GB"/>
        </w:rPr>
        <w:t xml:space="preserve">Measurements are now well advanced on </w:t>
      </w:r>
      <w:r>
        <w:rPr>
          <w:lang w:val="en-GB"/>
        </w:rPr>
        <w:t xml:space="preserve">both Silicon and </w:t>
      </w:r>
      <w:proofErr w:type="spellStart"/>
      <w:r>
        <w:rPr>
          <w:lang w:val="en-GB"/>
        </w:rPr>
        <w:t>SiPM</w:t>
      </w:r>
      <w:proofErr w:type="spellEnd"/>
      <w:r>
        <w:rPr>
          <w:lang w:val="en-GB"/>
        </w:rPr>
        <w:t xml:space="preserve"> versions. C</w:t>
      </w:r>
      <w:r w:rsidRPr="00FC7AA4">
        <w:rPr>
          <w:lang w:val="en-GB"/>
        </w:rPr>
        <w:t xml:space="preserve">harge performance reaches the specification: 1-2 % </w:t>
      </w:r>
      <w:r>
        <w:rPr>
          <w:lang w:val="en-GB"/>
        </w:rPr>
        <w:t>linearity, for both ADC and TOT, noise below specification</w:t>
      </w:r>
      <w:r w:rsidR="00C15D12">
        <w:rPr>
          <w:lang w:val="en-GB"/>
        </w:rPr>
        <w:t>s</w:t>
      </w:r>
      <w:r>
        <w:rPr>
          <w:lang w:val="en-GB"/>
        </w:rPr>
        <w:t xml:space="preserve">. Timing performance are at the state of the art: less than 25 </w:t>
      </w:r>
      <w:proofErr w:type="spellStart"/>
      <w:r>
        <w:rPr>
          <w:lang w:val="en-GB"/>
        </w:rPr>
        <w:t>ps</w:t>
      </w:r>
      <w:proofErr w:type="spellEnd"/>
      <w:r>
        <w:rPr>
          <w:lang w:val="en-GB"/>
        </w:rPr>
        <w:t xml:space="preserve"> resolution,</w:t>
      </w:r>
      <w:r w:rsidRPr="00FC7AA4">
        <w:rPr>
          <w:lang w:val="en-GB"/>
        </w:rPr>
        <w:t xml:space="preserve"> </w:t>
      </w:r>
      <w:r>
        <w:rPr>
          <w:lang w:val="en-GB"/>
        </w:rPr>
        <w:t xml:space="preserve">time walk correction is </w:t>
      </w:r>
      <w:r w:rsidRPr="00FC7AA4">
        <w:rPr>
          <w:lang w:val="en-GB"/>
        </w:rPr>
        <w:t>feasible</w:t>
      </w:r>
      <w:r>
        <w:rPr>
          <w:lang w:val="en-GB"/>
        </w:rPr>
        <w:t xml:space="preserve">. Some changes need to be implemented on the next version to the TDC to remove outliers which have been reproduced in simulation. </w:t>
      </w:r>
      <w:r w:rsidRPr="00FC7AA4">
        <w:rPr>
          <w:lang w:val="en-GB"/>
        </w:rPr>
        <w:t xml:space="preserve">A digital coupling appears on the </w:t>
      </w:r>
      <w:proofErr w:type="spellStart"/>
      <w:r w:rsidRPr="00FC7AA4">
        <w:rPr>
          <w:lang w:val="en-GB"/>
        </w:rPr>
        <w:t>analog</w:t>
      </w:r>
      <w:proofErr w:type="spellEnd"/>
      <w:r w:rsidRPr="00FC7AA4">
        <w:rPr>
          <w:lang w:val="en-GB"/>
        </w:rPr>
        <w:t xml:space="preserve"> waveforms when the chip is packaged </w:t>
      </w:r>
      <w:r>
        <w:rPr>
          <w:lang w:val="en-GB"/>
        </w:rPr>
        <w:t xml:space="preserve">in high-density BGA </w:t>
      </w:r>
      <w:r w:rsidRPr="00FC7AA4">
        <w:rPr>
          <w:lang w:val="en-GB"/>
        </w:rPr>
        <w:t xml:space="preserve">and mounted on a PCB. By improving the ground impedance and the digital decoupling capacitors, this modulation has been reduced from 30 ADC counts down to </w:t>
      </w:r>
      <w:r>
        <w:rPr>
          <w:lang w:val="en-GB"/>
        </w:rPr>
        <w:t>3</w:t>
      </w:r>
      <w:r w:rsidRPr="00FC7AA4">
        <w:rPr>
          <w:lang w:val="en-GB"/>
        </w:rPr>
        <w:t xml:space="preserve"> ADC counts</w:t>
      </w:r>
      <w:r>
        <w:rPr>
          <w:lang w:val="en-GB"/>
        </w:rPr>
        <w:t>, which is acceptable.</w:t>
      </w:r>
      <w:r w:rsidR="00C15D12">
        <w:rPr>
          <w:lang w:val="en-GB"/>
        </w:rPr>
        <w:t xml:space="preserve"> </w:t>
      </w:r>
      <w:r w:rsidRPr="00FC7AA4">
        <w:rPr>
          <w:lang w:val="en-GB"/>
        </w:rPr>
        <w:t>TID and SEE campaigns show very good performance: SEE appear only in the non-triplicated parts of the chip, and there is no SEU errors on the slow-control parameters.</w:t>
      </w:r>
    </w:p>
    <w:p w:rsidR="00FC7AA4" w:rsidRDefault="00FC7AA4" w:rsidP="00FC7AA4">
      <w:pPr>
        <w:pStyle w:val="BodytextIndented"/>
        <w:rPr>
          <w:lang w:val="en-GB"/>
        </w:rPr>
      </w:pPr>
      <w:r w:rsidRPr="00FC7AA4">
        <w:rPr>
          <w:lang w:val="en-GB"/>
        </w:rPr>
        <w:t xml:space="preserve">The final version of the chip has been submitted </w:t>
      </w:r>
      <w:r>
        <w:rPr>
          <w:lang w:val="en-GB"/>
        </w:rPr>
        <w:t>on</w:t>
      </w:r>
      <w:r w:rsidRPr="00FC7AA4">
        <w:rPr>
          <w:lang w:val="en-GB"/>
        </w:rPr>
        <w:t xml:space="preserve"> December</w:t>
      </w:r>
      <w:r>
        <w:rPr>
          <w:lang w:val="en-GB"/>
        </w:rPr>
        <w:t xml:space="preserve"> 2020. M</w:t>
      </w:r>
      <w:r w:rsidRPr="00FC7AA4">
        <w:rPr>
          <w:lang w:val="en-GB"/>
        </w:rPr>
        <w:t xml:space="preserve">inor changes </w:t>
      </w:r>
      <w:r>
        <w:rPr>
          <w:lang w:val="en-GB"/>
        </w:rPr>
        <w:t xml:space="preserve">have been done </w:t>
      </w:r>
      <w:r w:rsidRPr="00FC7AA4">
        <w:rPr>
          <w:lang w:val="en-GB"/>
        </w:rPr>
        <w:t xml:space="preserve">in </w:t>
      </w:r>
      <w:proofErr w:type="spellStart"/>
      <w:r w:rsidRPr="00FC7AA4">
        <w:rPr>
          <w:lang w:val="en-GB"/>
        </w:rPr>
        <w:t>analog</w:t>
      </w:r>
      <w:proofErr w:type="spellEnd"/>
      <w:r>
        <w:rPr>
          <w:lang w:val="en-GB"/>
        </w:rPr>
        <w:t xml:space="preserve"> part</w:t>
      </w:r>
      <w:r w:rsidRPr="00FC7AA4">
        <w:rPr>
          <w:lang w:val="en-GB"/>
        </w:rPr>
        <w:t xml:space="preserve">, the </w:t>
      </w:r>
      <w:r w:rsidR="00C15D12">
        <w:rPr>
          <w:lang w:val="en-GB"/>
        </w:rPr>
        <w:t>largest</w:t>
      </w:r>
      <w:r w:rsidRPr="00FC7AA4">
        <w:rPr>
          <w:lang w:val="en-GB"/>
        </w:rPr>
        <w:t xml:space="preserve"> changes are in digital, where all the crucial parts have been triplicated, both DFFs and clocks. Another memory has been added to handle the triggered data from the DAQ. Hamming encoding has been implemented for all </w:t>
      </w:r>
      <w:bookmarkStart w:id="0" w:name="_GoBack"/>
      <w:bookmarkEnd w:id="0"/>
      <w:r w:rsidRPr="00FC7AA4">
        <w:rPr>
          <w:lang w:val="en-GB"/>
        </w:rPr>
        <w:t>data stored in the two memories. CRC-32 checksum encoding has also been implemented and sent in the DAQ frame.</w:t>
      </w:r>
    </w:p>
    <w:p w:rsidR="003E6810" w:rsidRPr="00FC7AA4" w:rsidRDefault="003E6810" w:rsidP="00FC7AA4">
      <w:pPr>
        <w:pStyle w:val="BodytextIndented"/>
        <w:rPr>
          <w:lang w:val="en-GB"/>
        </w:rPr>
      </w:pPr>
    </w:p>
    <w:p w:rsidR="009A0487" w:rsidRDefault="009A0487">
      <w:pPr>
        <w:pStyle w:val="Sectionnonumber"/>
      </w:pPr>
      <w:r>
        <w:t>References</w:t>
      </w:r>
    </w:p>
    <w:p w:rsidR="0029725A" w:rsidRDefault="0029725A" w:rsidP="0029725A">
      <w:pPr>
        <w:pStyle w:val="Reference"/>
      </w:pPr>
      <w:r w:rsidRPr="0029725A">
        <w:t xml:space="preserve">CMS Collaboration, The Phase-2 Upgrade of the CMS Endcap Calorimeter, </w:t>
      </w:r>
      <w:hyperlink r:id="rId18" w:history="1">
        <w:r w:rsidRPr="0029725A">
          <w:rPr>
            <w:rStyle w:val="Lienhypertexte"/>
          </w:rPr>
          <w:t>CERN-LHCC-2017-023</w:t>
        </w:r>
      </w:hyperlink>
      <w:r w:rsidRPr="0029725A">
        <w:t xml:space="preserve">, 2017  </w:t>
      </w:r>
    </w:p>
    <w:p w:rsidR="0029725A" w:rsidRPr="004F12AC" w:rsidRDefault="0029725A" w:rsidP="0029725A">
      <w:pPr>
        <w:pStyle w:val="Reference"/>
      </w:pPr>
      <w:bookmarkStart w:id="1" w:name="_Ref133829419"/>
      <w:r>
        <w:t xml:space="preserve">M. Firlej </w:t>
      </w:r>
      <w:r w:rsidRPr="0030449B">
        <w:rPr>
          <w:i/>
        </w:rPr>
        <w:t>et al</w:t>
      </w:r>
      <w:r>
        <w:rPr>
          <w:i/>
        </w:rPr>
        <w:t>.</w:t>
      </w:r>
      <w:r>
        <w:t xml:space="preserve">, </w:t>
      </w:r>
      <w:r w:rsidRPr="0030449B">
        <w:rPr>
          <w:i/>
        </w:rPr>
        <w:t>A fast, ultra-low and frequency-scalable power consumption, 10-bit SAR ADC for particle physics detectors</w:t>
      </w:r>
      <w:r>
        <w:t xml:space="preserve">, </w:t>
      </w:r>
      <w:hyperlink r:id="rId19" w:history="1">
        <w:r w:rsidRPr="0030449B">
          <w:rPr>
            <w:rStyle w:val="Lienhypertexte"/>
          </w:rPr>
          <w:t>JINST 10 P11012</w:t>
        </w:r>
      </w:hyperlink>
      <w:r>
        <w:t>, 2015</w:t>
      </w:r>
      <w:bookmarkEnd w:id="1"/>
    </w:p>
    <w:p w:rsidR="0029725A" w:rsidRPr="0029725A" w:rsidRDefault="0029725A" w:rsidP="0029725A">
      <w:pPr>
        <w:pStyle w:val="Reference"/>
      </w:pPr>
      <w:r w:rsidRPr="0029725A">
        <w:t>A. Marchioro et al., Design of power-efficient RAM memories for LHC Front-End chips, Contribution to the Front-End Electronics Conference, 2018.</w:t>
      </w:r>
    </w:p>
    <w:p w:rsidR="009A0487" w:rsidRDefault="009A0487"/>
    <w:p w:rsidR="006F45A4" w:rsidRPr="00C05E48" w:rsidRDefault="006F45A4"/>
    <w:sectPr w:rsidR="006F45A4" w:rsidRPr="00C05E48">
      <w:headerReference w:type="even" r:id="rId20"/>
      <w:headerReference w:type="default" r:id="rId21"/>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724" w:rsidRDefault="00C76724">
      <w:r>
        <w:separator/>
      </w:r>
    </w:p>
  </w:endnote>
  <w:endnote w:type="continuationSeparator" w:id="0">
    <w:p w:rsidR="00C76724" w:rsidRDefault="00C7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724" w:rsidRPr="00043761" w:rsidRDefault="00C76724">
      <w:pPr>
        <w:pStyle w:val="Bulleted"/>
        <w:numPr>
          <w:ilvl w:val="0"/>
          <w:numId w:val="0"/>
        </w:numPr>
        <w:rPr>
          <w:rFonts w:ascii="Sabon" w:hAnsi="Sabon"/>
          <w:color w:val="auto"/>
          <w:szCs w:val="20"/>
        </w:rPr>
      </w:pPr>
      <w:r>
        <w:separator/>
      </w:r>
    </w:p>
  </w:footnote>
  <w:footnote w:type="continuationSeparator" w:id="0">
    <w:p w:rsidR="00C76724" w:rsidRDefault="00C76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487" w:rsidRDefault="009A04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487" w:rsidRDefault="009A0487"/>
  <w:p w:rsidR="009A0487" w:rsidRDefault="009A0487"/>
  <w:p w:rsidR="009A0487" w:rsidRDefault="009A0487"/>
  <w:p w:rsidR="009A0487" w:rsidRDefault="009A0487"/>
  <w:p w:rsidR="009A0487" w:rsidRDefault="009A0487"/>
  <w:p w:rsidR="009A0487" w:rsidRDefault="009A04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B82AA204"/>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AE61500"/>
    <w:multiLevelType w:val="multilevel"/>
    <w:tmpl w:val="7424F97A"/>
    <w:styleLink w:val="references"/>
    <w:lvl w:ilvl="0">
      <w:start w:val="1"/>
      <w:numFmt w:val="decimal"/>
      <w:pStyle w:val="referencetext"/>
      <w:lvlText w:val="[%1]"/>
      <w:lvlJc w:val="right"/>
      <w:pPr>
        <w:tabs>
          <w:tab w:val="num" w:pos="454"/>
        </w:tabs>
        <w:ind w:left="454" w:hanging="114"/>
      </w:pPr>
      <w:rP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53EA6EEB"/>
    <w:multiLevelType w:val="hybridMultilevel"/>
    <w:tmpl w:val="0792C0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E0578E4"/>
    <w:multiLevelType w:val="hybridMultilevel"/>
    <w:tmpl w:val="B474482A"/>
    <w:lvl w:ilvl="0" w:tplc="520625D4">
      <w:numFmt w:val="bullet"/>
      <w:lvlText w:val="-"/>
      <w:lvlJc w:val="left"/>
      <w:pPr>
        <w:ind w:left="644" w:hanging="360"/>
      </w:pPr>
      <w:rPr>
        <w:rFonts w:ascii="Times" w:eastAsia="Times New Roman" w:hAnsi="Times" w:cs="Time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nsid w:val="7FCE5D00"/>
    <w:multiLevelType w:val="multilevel"/>
    <w:tmpl w:val="04090023"/>
    <w:lvl w:ilvl="0">
      <w:start w:val="1"/>
      <w:numFmt w:val="upperRoman"/>
      <w:pStyle w:val="Titre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num w:numId="1">
    <w:abstractNumId w:val="6"/>
  </w:num>
  <w:num w:numId="2">
    <w:abstractNumId w:val="1"/>
  </w:num>
  <w:num w:numId="3">
    <w:abstractNumId w:val="0"/>
  </w:num>
  <w:num w:numId="4">
    <w:abstractNumId w:val="4"/>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5"/>
  </w:num>
  <w:num w:numId="13">
    <w:abstractNumId w:val="0"/>
  </w:num>
  <w:num w:numId="14">
    <w:abstractNumId w:val="0"/>
  </w:num>
  <w:num w:numId="15">
    <w:abstractNumId w:val="0"/>
  </w:num>
  <w:num w:numId="1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BE4"/>
    <w:rsid w:val="00006EA6"/>
    <w:rsid w:val="00123E31"/>
    <w:rsid w:val="00136E50"/>
    <w:rsid w:val="00144250"/>
    <w:rsid w:val="001532E8"/>
    <w:rsid w:val="001F3634"/>
    <w:rsid w:val="00214E74"/>
    <w:rsid w:val="00217A99"/>
    <w:rsid w:val="00234AF4"/>
    <w:rsid w:val="00263AAB"/>
    <w:rsid w:val="0029725A"/>
    <w:rsid w:val="003C7936"/>
    <w:rsid w:val="003E6810"/>
    <w:rsid w:val="003F6112"/>
    <w:rsid w:val="00464320"/>
    <w:rsid w:val="00465D91"/>
    <w:rsid w:val="00466982"/>
    <w:rsid w:val="00470834"/>
    <w:rsid w:val="004C6937"/>
    <w:rsid w:val="004F07E7"/>
    <w:rsid w:val="004F6806"/>
    <w:rsid w:val="005158FA"/>
    <w:rsid w:val="00567F08"/>
    <w:rsid w:val="0058704C"/>
    <w:rsid w:val="005877B0"/>
    <w:rsid w:val="00597D9F"/>
    <w:rsid w:val="005A1439"/>
    <w:rsid w:val="005A6A83"/>
    <w:rsid w:val="005B7273"/>
    <w:rsid w:val="00664B3E"/>
    <w:rsid w:val="006862AE"/>
    <w:rsid w:val="006A51D3"/>
    <w:rsid w:val="006F2DD2"/>
    <w:rsid w:val="006F45A4"/>
    <w:rsid w:val="00733CB3"/>
    <w:rsid w:val="00773B5B"/>
    <w:rsid w:val="007A5FE6"/>
    <w:rsid w:val="007C2735"/>
    <w:rsid w:val="008007E9"/>
    <w:rsid w:val="00831115"/>
    <w:rsid w:val="008430D0"/>
    <w:rsid w:val="00865B3B"/>
    <w:rsid w:val="00867E58"/>
    <w:rsid w:val="008B6D1E"/>
    <w:rsid w:val="008D4A7C"/>
    <w:rsid w:val="009206F4"/>
    <w:rsid w:val="00920EA4"/>
    <w:rsid w:val="0095451B"/>
    <w:rsid w:val="00983826"/>
    <w:rsid w:val="009A0487"/>
    <w:rsid w:val="009B266C"/>
    <w:rsid w:val="009C3E05"/>
    <w:rsid w:val="00A053D8"/>
    <w:rsid w:val="00A94F19"/>
    <w:rsid w:val="00AC2769"/>
    <w:rsid w:val="00AF4E81"/>
    <w:rsid w:val="00B05982"/>
    <w:rsid w:val="00B21CE7"/>
    <w:rsid w:val="00B6664C"/>
    <w:rsid w:val="00B8200A"/>
    <w:rsid w:val="00B83F45"/>
    <w:rsid w:val="00B873A4"/>
    <w:rsid w:val="00B976AE"/>
    <w:rsid w:val="00BD5FAE"/>
    <w:rsid w:val="00C15D12"/>
    <w:rsid w:val="00C76724"/>
    <w:rsid w:val="00C849FC"/>
    <w:rsid w:val="00CA3225"/>
    <w:rsid w:val="00CD2F36"/>
    <w:rsid w:val="00D8159B"/>
    <w:rsid w:val="00DA13E6"/>
    <w:rsid w:val="00DE262A"/>
    <w:rsid w:val="00DE4805"/>
    <w:rsid w:val="00DE5267"/>
    <w:rsid w:val="00E51A85"/>
    <w:rsid w:val="00ED7BB1"/>
    <w:rsid w:val="00EF6BE4"/>
    <w:rsid w:val="00F32E57"/>
    <w:rsid w:val="00F8305C"/>
    <w:rsid w:val="00F9686F"/>
    <w:rsid w:val="00FA1E5A"/>
    <w:rsid w:val="00FC7AA4"/>
    <w:rsid w:val="00FE7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20BAA45-19A0-4F86-AF87-DFA5FB820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Titre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Titre2">
    <w:name w:val="heading 2"/>
    <w:basedOn w:val="Subsection"/>
    <w:next w:val="Normal"/>
    <w:link w:val="Titre2Car"/>
    <w:autoRedefine/>
    <w:qFormat/>
    <w:rsid w:val="00733CB3"/>
    <w:pPr>
      <w:outlineLvl w:val="1"/>
    </w:pPr>
    <w:rPr>
      <w:i/>
    </w:rPr>
  </w:style>
  <w:style w:type="paragraph" w:styleId="Titre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Titre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Titre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Titre9">
    <w:name w:val="heading 9"/>
    <w:basedOn w:val="Normal"/>
    <w:next w:val="Normal"/>
    <w:qFormat/>
    <w:pPr>
      <w:numPr>
        <w:ilvl w:val="8"/>
        <w:numId w:val="1"/>
      </w:numPr>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link w:val="SectionCar"/>
    <w:pPr>
      <w:numPr>
        <w:numId w:val="3"/>
      </w:numPr>
      <w:spacing w:before="240"/>
    </w:pPr>
    <w:rPr>
      <w:rFonts w:ascii="Times" w:hAnsi="Times"/>
      <w:b/>
      <w:iCs/>
      <w:color w:val="000000"/>
      <w:sz w:val="22"/>
      <w:szCs w:val="22"/>
      <w:lang w:eastAsia="en-US"/>
    </w:rPr>
  </w:style>
  <w:style w:type="paragraph" w:styleId="Notedebasdepage">
    <w:name w:val="footnote text"/>
    <w:basedOn w:val="Normal"/>
    <w:semiHidden/>
    <w:rPr>
      <w:sz w:val="20"/>
    </w:rPr>
  </w:style>
  <w:style w:type="character" w:styleId="Appelnotedebasdep">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Notedefin">
    <w:name w:val="endnote text"/>
    <w:basedOn w:val="Normal"/>
    <w:semiHidden/>
    <w:rPr>
      <w:sz w:val="20"/>
    </w:rPr>
  </w:style>
  <w:style w:type="character" w:styleId="Appeldenotedefin">
    <w:name w:val="endnote reference"/>
    <w:semiHidden/>
    <w:rPr>
      <w:vertAlign w:val="superscript"/>
    </w:rPr>
  </w:style>
  <w:style w:type="paragraph" w:customStyle="1" w:styleId="Subsection">
    <w:name w:val="Subsection"/>
    <w:next w:val="Bodytext"/>
    <w:link w:val="SubsectionCar"/>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Numrodepage">
    <w:name w:val="page number"/>
    <w:basedOn w:val="Policepardfaut"/>
    <w:semiHidden/>
  </w:style>
  <w:style w:type="paragraph" w:styleId="Titr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Paragraphedeliste">
    <w:name w:val="List Paragraph"/>
    <w:basedOn w:val="Normal"/>
    <w:uiPriority w:val="34"/>
    <w:qFormat/>
    <w:rsid w:val="00FA1E5A"/>
    <w:pPr>
      <w:ind w:left="720"/>
      <w:contextualSpacing/>
    </w:pPr>
  </w:style>
  <w:style w:type="paragraph" w:customStyle="1" w:styleId="titre10">
    <w:name w:val="titre1"/>
    <w:basedOn w:val="Section"/>
    <w:link w:val="titre1Car"/>
    <w:qFormat/>
    <w:rsid w:val="00FA1E5A"/>
  </w:style>
  <w:style w:type="paragraph" w:customStyle="1" w:styleId="titre20">
    <w:name w:val="titre2"/>
    <w:basedOn w:val="Titre2"/>
    <w:link w:val="titre2Car0"/>
    <w:qFormat/>
    <w:rsid w:val="00FA1E5A"/>
  </w:style>
  <w:style w:type="character" w:customStyle="1" w:styleId="SectionCar">
    <w:name w:val="Section Car"/>
    <w:basedOn w:val="Policepardfaut"/>
    <w:link w:val="Section"/>
    <w:rsid w:val="00FA1E5A"/>
    <w:rPr>
      <w:rFonts w:ascii="Times" w:hAnsi="Times"/>
      <w:b/>
      <w:iCs/>
      <w:color w:val="000000"/>
      <w:sz w:val="22"/>
      <w:szCs w:val="22"/>
      <w:lang w:eastAsia="en-US"/>
    </w:rPr>
  </w:style>
  <w:style w:type="character" w:customStyle="1" w:styleId="titre1Car">
    <w:name w:val="titre1 Car"/>
    <w:basedOn w:val="SectionCar"/>
    <w:link w:val="titre10"/>
    <w:rsid w:val="00FA1E5A"/>
    <w:rPr>
      <w:rFonts w:ascii="Times" w:hAnsi="Times"/>
      <w:b/>
      <w:iCs/>
      <w:color w:val="000000"/>
      <w:sz w:val="22"/>
      <w:szCs w:val="22"/>
      <w:lang w:eastAsia="en-US"/>
    </w:rPr>
  </w:style>
  <w:style w:type="paragraph" w:customStyle="1" w:styleId="titre30">
    <w:name w:val="titre3"/>
    <w:basedOn w:val="Subsubsection"/>
    <w:link w:val="titre3Car"/>
    <w:qFormat/>
    <w:rsid w:val="00FA1E5A"/>
  </w:style>
  <w:style w:type="character" w:customStyle="1" w:styleId="SubsectionCar">
    <w:name w:val="Subsection Car"/>
    <w:basedOn w:val="Policepardfaut"/>
    <w:link w:val="Subsection"/>
    <w:rsid w:val="00FA1E5A"/>
    <w:rPr>
      <w:rFonts w:ascii="Times" w:hAnsi="Times"/>
      <w:iCs/>
      <w:color w:val="000000"/>
      <w:sz w:val="22"/>
      <w:szCs w:val="22"/>
      <w:lang w:eastAsia="en-US"/>
    </w:rPr>
  </w:style>
  <w:style w:type="character" w:customStyle="1" w:styleId="Titre2Car">
    <w:name w:val="Titre 2 Car"/>
    <w:basedOn w:val="SubsectionCar"/>
    <w:link w:val="Titre2"/>
    <w:rsid w:val="00FA1E5A"/>
    <w:rPr>
      <w:rFonts w:ascii="Times" w:hAnsi="Times"/>
      <w:i/>
      <w:iCs/>
      <w:color w:val="000000"/>
      <w:sz w:val="22"/>
      <w:szCs w:val="22"/>
      <w:lang w:eastAsia="en-US"/>
    </w:rPr>
  </w:style>
  <w:style w:type="character" w:customStyle="1" w:styleId="titre2Car0">
    <w:name w:val="titre2 Car"/>
    <w:basedOn w:val="Titre2Car"/>
    <w:link w:val="titre20"/>
    <w:rsid w:val="00FA1E5A"/>
    <w:rPr>
      <w:rFonts w:ascii="Times" w:hAnsi="Times"/>
      <w:i/>
      <w:iCs/>
      <w:color w:val="000000"/>
      <w:sz w:val="22"/>
      <w:szCs w:val="22"/>
      <w:lang w:eastAsia="en-US"/>
    </w:rPr>
  </w:style>
  <w:style w:type="paragraph" w:styleId="Lgende">
    <w:name w:val="caption"/>
    <w:basedOn w:val="Normal"/>
    <w:next w:val="Normal"/>
    <w:uiPriority w:val="35"/>
    <w:unhideWhenUsed/>
    <w:qFormat/>
    <w:rsid w:val="00597D9F"/>
    <w:pPr>
      <w:spacing w:after="200"/>
    </w:pPr>
    <w:rPr>
      <w:i/>
      <w:iCs/>
      <w:color w:val="1F497D" w:themeColor="text2"/>
      <w:sz w:val="18"/>
      <w:szCs w:val="18"/>
    </w:rPr>
  </w:style>
  <w:style w:type="character" w:customStyle="1" w:styleId="titre3Car">
    <w:name w:val="titre3 Car"/>
    <w:basedOn w:val="SubsubsectionChar"/>
    <w:link w:val="titre30"/>
    <w:rsid w:val="00FA1E5A"/>
    <w:rPr>
      <w:rFonts w:ascii="Times" w:hAnsi="Times"/>
      <w:i/>
      <w:iCs/>
      <w:color w:val="000000"/>
      <w:sz w:val="22"/>
      <w:szCs w:val="22"/>
      <w:lang w:eastAsia="en-US"/>
    </w:rPr>
  </w:style>
  <w:style w:type="paragraph" w:styleId="Corpsdetexte">
    <w:name w:val="Body Text"/>
    <w:basedOn w:val="Normal"/>
    <w:link w:val="CorpsdetexteCar"/>
    <w:rsid w:val="0095451B"/>
    <w:pPr>
      <w:spacing w:line="264" w:lineRule="auto"/>
      <w:ind w:firstLine="454"/>
      <w:jc w:val="both"/>
    </w:pPr>
    <w:rPr>
      <w:rFonts w:ascii="Times New Roman" w:hAnsi="Times New Roman"/>
      <w:lang w:val="en-US" w:eastAsia="ru-RU"/>
    </w:rPr>
  </w:style>
  <w:style w:type="character" w:customStyle="1" w:styleId="CorpsdetexteCar">
    <w:name w:val="Corps de texte Car"/>
    <w:basedOn w:val="Policepardfaut"/>
    <w:link w:val="Corpsdetexte"/>
    <w:rsid w:val="0095451B"/>
    <w:rPr>
      <w:sz w:val="22"/>
      <w:lang w:val="en-US" w:eastAsia="ru-RU"/>
    </w:rPr>
  </w:style>
  <w:style w:type="character" w:styleId="Lienhypertexte">
    <w:name w:val="Hyperlink"/>
    <w:basedOn w:val="Policepardfaut"/>
    <w:uiPriority w:val="99"/>
    <w:unhideWhenUsed/>
    <w:rsid w:val="0029725A"/>
    <w:rPr>
      <w:color w:val="0000FF" w:themeColor="hyperlink"/>
      <w:u w:val="single"/>
    </w:rPr>
  </w:style>
  <w:style w:type="character" w:styleId="Lienhypertextesuivivisit">
    <w:name w:val="FollowedHyperlink"/>
    <w:basedOn w:val="Policepardfaut"/>
    <w:uiPriority w:val="99"/>
    <w:semiHidden/>
    <w:unhideWhenUsed/>
    <w:rsid w:val="0029725A"/>
    <w:rPr>
      <w:color w:val="800080" w:themeColor="followedHyperlink"/>
      <w:u w:val="single"/>
    </w:rPr>
  </w:style>
  <w:style w:type="numbering" w:customStyle="1" w:styleId="references">
    <w:name w:val="references"/>
    <w:rsid w:val="0029725A"/>
    <w:pPr>
      <w:numPr>
        <w:numId w:val="16"/>
      </w:numPr>
    </w:pPr>
  </w:style>
  <w:style w:type="paragraph" w:customStyle="1" w:styleId="referencetext">
    <w:name w:val="reference_text"/>
    <w:basedOn w:val="Corpsdetexte"/>
    <w:rsid w:val="0029725A"/>
    <w:pPr>
      <w:numPr>
        <w:numId w:val="16"/>
      </w:numPr>
      <w:spacing w:after="160"/>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cds.cern.ch/record/2293646"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iopscience.iop.org/article/10.1088/1748-0221/10/11/P110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65E3E-61F0-4F57-B92D-C3B8C711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2052</TotalTime>
  <Pages>8</Pages>
  <Words>2972</Words>
  <Characters>16351</Characters>
  <Application>Microsoft Office Word</Application>
  <DocSecurity>0</DocSecurity>
  <Lines>136</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Open Access proceedings Journal of Physics: Conference series</vt:lpstr>
      <vt:lpstr>Open Access proceedings Journal of Physics: Conference series </vt:lpstr>
    </vt:vector>
  </TitlesOfParts>
  <Company>IOP Publishing</Company>
  <LinksUpToDate>false</LinksUpToDate>
  <CharactersWithSpaces>19285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Damien Thienpont</cp:lastModifiedBy>
  <cp:revision>23</cp:revision>
  <cp:lastPrinted>2021-06-10T17:18:00Z</cp:lastPrinted>
  <dcterms:created xsi:type="dcterms:W3CDTF">2021-05-31T12:25:00Z</dcterms:created>
  <dcterms:modified xsi:type="dcterms:W3CDTF">2021-06-11T15:12:00Z</dcterms:modified>
</cp:coreProperties>
</file>