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346B" w14:textId="11E1717A" w:rsidR="00D029E7" w:rsidRDefault="00D029E7" w:rsidP="00D029E7">
      <w:pPr>
        <w:pStyle w:val="Titre"/>
        <w:jc w:val="center"/>
        <w:rPr>
          <w:lang w:val="en-US"/>
        </w:rPr>
      </w:pPr>
      <w:r>
        <w:rPr>
          <w:lang w:val="en-US"/>
        </w:rPr>
        <w:t xml:space="preserve">Extending the ESCAPE </w:t>
      </w:r>
      <w:proofErr w:type="spellStart"/>
      <w:r w:rsidR="00C67BB0">
        <w:rPr>
          <w:lang w:val="en-US"/>
        </w:rPr>
        <w:t>D</w:t>
      </w:r>
      <w:r>
        <w:rPr>
          <w:lang w:val="en-US"/>
        </w:rPr>
        <w:t>atalake</w:t>
      </w:r>
      <w:proofErr w:type="spellEnd"/>
      <w:r>
        <w:rPr>
          <w:lang w:val="en-US"/>
        </w:rPr>
        <w:t xml:space="preserve"> prototype to test RIs data accessibility from commercial cloud services</w:t>
      </w:r>
    </w:p>
    <w:p w14:paraId="0FF9EE93" w14:textId="77777777" w:rsidR="00D029E7" w:rsidRPr="00D029E7" w:rsidRDefault="00D029E7" w:rsidP="00D029E7">
      <w:pPr>
        <w:rPr>
          <w:lang w:val="en-US"/>
        </w:rPr>
      </w:pPr>
    </w:p>
    <w:p w14:paraId="02424111" w14:textId="77777777" w:rsidR="00D029E7" w:rsidRDefault="00D029E7" w:rsidP="00C84DBB">
      <w:pPr>
        <w:rPr>
          <w:lang w:val="en-US"/>
        </w:rPr>
      </w:pPr>
    </w:p>
    <w:p w14:paraId="42C6DD7A" w14:textId="77777777" w:rsidR="00D029E7" w:rsidRDefault="00D029E7" w:rsidP="00D029E7">
      <w:pPr>
        <w:jc w:val="right"/>
        <w:rPr>
          <w:lang w:val="en-US"/>
        </w:rPr>
      </w:pPr>
      <w:r>
        <w:rPr>
          <w:lang w:val="en-US"/>
        </w:rPr>
        <w:t xml:space="preserve">Bob Jones, Simone Campana, Xavier </w:t>
      </w:r>
      <w:proofErr w:type="spellStart"/>
      <w:r>
        <w:rPr>
          <w:lang w:val="en-US"/>
        </w:rPr>
        <w:t>Espinal</w:t>
      </w:r>
      <w:proofErr w:type="spellEnd"/>
      <w:r>
        <w:rPr>
          <w:lang w:val="en-US"/>
        </w:rPr>
        <w:t xml:space="preserve">, </w:t>
      </w:r>
      <w:r w:rsidRPr="00D029E7">
        <w:rPr>
          <w:lang w:val="en-US"/>
        </w:rPr>
        <w:t xml:space="preserve">Joao </w:t>
      </w:r>
      <w:proofErr w:type="spellStart"/>
      <w:r w:rsidRPr="00D029E7">
        <w:rPr>
          <w:lang w:val="en-US"/>
        </w:rPr>
        <w:t>Fe</w:t>
      </w:r>
      <w:r>
        <w:rPr>
          <w:lang w:val="en-US"/>
        </w:rPr>
        <w:t>rnandes</w:t>
      </w:r>
      <w:proofErr w:type="spellEnd"/>
      <w:r>
        <w:rPr>
          <w:lang w:val="en-US"/>
        </w:rPr>
        <w:t>, CERN</w:t>
      </w:r>
      <w:r>
        <w:rPr>
          <w:lang w:val="en-US"/>
        </w:rPr>
        <w:br/>
        <w:t>29 April 2020</w:t>
      </w:r>
    </w:p>
    <w:p w14:paraId="622B62EB" w14:textId="77777777" w:rsidR="00D029E7" w:rsidRDefault="00D029E7" w:rsidP="00C84DBB">
      <w:pPr>
        <w:rPr>
          <w:lang w:val="en-US"/>
        </w:rPr>
      </w:pPr>
    </w:p>
    <w:p w14:paraId="357EBACC" w14:textId="77777777" w:rsidR="00D029E7" w:rsidRDefault="00D029E7" w:rsidP="00C84DBB">
      <w:pPr>
        <w:rPr>
          <w:lang w:val="en-US"/>
        </w:rPr>
      </w:pPr>
    </w:p>
    <w:p w14:paraId="59D0ED63" w14:textId="77777777" w:rsidR="00D029E7" w:rsidRDefault="00D029E7" w:rsidP="00C84DBB">
      <w:pPr>
        <w:rPr>
          <w:lang w:val="en-US"/>
        </w:rPr>
      </w:pPr>
    </w:p>
    <w:p w14:paraId="3F2FE188" w14:textId="77777777" w:rsidR="003F68BC" w:rsidRDefault="003F68BC" w:rsidP="003F68BC">
      <w:pPr>
        <w:pStyle w:val="Titre1"/>
        <w:rPr>
          <w:lang w:val="en-US"/>
        </w:rPr>
      </w:pPr>
      <w:r>
        <w:rPr>
          <w:lang w:val="en-US"/>
        </w:rPr>
        <w:t>Introduction</w:t>
      </w:r>
    </w:p>
    <w:p w14:paraId="2AEBEDD5" w14:textId="77777777" w:rsidR="003F68BC" w:rsidRPr="003F68BC" w:rsidRDefault="003F68BC" w:rsidP="003F68BC">
      <w:pPr>
        <w:rPr>
          <w:lang w:val="en-US"/>
        </w:rPr>
      </w:pPr>
    </w:p>
    <w:p w14:paraId="51267A89" w14:textId="47F56F56" w:rsidR="00D4399B" w:rsidRDefault="00C84DBB" w:rsidP="00674973">
      <w:pPr>
        <w:jc w:val="both"/>
        <w:rPr>
          <w:lang w:val="en-US"/>
        </w:rPr>
      </w:pPr>
      <w:r>
        <w:rPr>
          <w:lang w:val="en-US"/>
        </w:rPr>
        <w:t xml:space="preserve">This document </w:t>
      </w:r>
      <w:r w:rsidR="00C67BB0">
        <w:rPr>
          <w:lang w:val="en-US"/>
        </w:rPr>
        <w:t>summarizes</w:t>
      </w:r>
      <w:r>
        <w:rPr>
          <w:lang w:val="en-US"/>
        </w:rPr>
        <w:t xml:space="preserve"> the possible synergies between the ESCAPE project and </w:t>
      </w:r>
      <w:r w:rsidR="00600267">
        <w:rPr>
          <w:lang w:val="en-US"/>
        </w:rPr>
        <w:t>MECHANICS</w:t>
      </w:r>
      <w:r w:rsidR="00D029E7">
        <w:rPr>
          <w:lang w:val="en-US"/>
        </w:rPr>
        <w:t xml:space="preserve"> </w:t>
      </w:r>
      <w:r w:rsidR="003F68BC">
        <w:rPr>
          <w:lang w:val="en-US"/>
        </w:rPr>
        <w:t xml:space="preserve">and proposes a collaboration </w:t>
      </w:r>
      <w:r w:rsidR="00B87146">
        <w:rPr>
          <w:lang w:val="en-US"/>
        </w:rPr>
        <w:t xml:space="preserve">to extend the </w:t>
      </w:r>
      <w:r w:rsidR="003F68BC">
        <w:rPr>
          <w:lang w:val="en-US"/>
        </w:rPr>
        <w:t xml:space="preserve">ESCAPE </w:t>
      </w:r>
      <w:proofErr w:type="spellStart"/>
      <w:r w:rsidR="00B87146">
        <w:rPr>
          <w:lang w:val="en-US"/>
        </w:rPr>
        <w:t>datalake</w:t>
      </w:r>
      <w:proofErr w:type="spellEnd"/>
      <w:r w:rsidR="00B87146">
        <w:rPr>
          <w:lang w:val="en-US"/>
        </w:rPr>
        <w:t xml:space="preserve"> prototype </w:t>
      </w:r>
      <w:r w:rsidR="003F68BC">
        <w:rPr>
          <w:lang w:val="en-US"/>
        </w:rPr>
        <w:t>in order to</w:t>
      </w:r>
      <w:r w:rsidR="00B87146">
        <w:rPr>
          <w:lang w:val="en-US"/>
        </w:rPr>
        <w:t xml:space="preserve"> </w:t>
      </w:r>
      <w:r w:rsidR="00D029E7" w:rsidRPr="00D029E7">
        <w:rPr>
          <w:lang w:val="en-US"/>
        </w:rPr>
        <w:t>test RIs data accessibility from commercial cloud services</w:t>
      </w:r>
      <w:r w:rsidR="00D029E7">
        <w:rPr>
          <w:lang w:val="en-US"/>
        </w:rPr>
        <w:t>.</w:t>
      </w:r>
    </w:p>
    <w:p w14:paraId="4C37C0A5" w14:textId="77777777" w:rsidR="00600267" w:rsidRDefault="00B87146" w:rsidP="00B87146">
      <w:pPr>
        <w:pStyle w:val="Titre1"/>
        <w:rPr>
          <w:lang w:val="en-US"/>
        </w:rPr>
      </w:pPr>
      <w:r>
        <w:rPr>
          <w:lang w:val="en-US"/>
        </w:rPr>
        <w:t xml:space="preserve">Relevance to the ESCAPE </w:t>
      </w:r>
      <w:proofErr w:type="spellStart"/>
      <w:r>
        <w:rPr>
          <w:lang w:val="en-US"/>
        </w:rPr>
        <w:t>programme</w:t>
      </w:r>
      <w:proofErr w:type="spellEnd"/>
      <w:r>
        <w:rPr>
          <w:lang w:val="en-US"/>
        </w:rPr>
        <w:t xml:space="preserve"> of work</w:t>
      </w:r>
    </w:p>
    <w:p w14:paraId="11E662D8" w14:textId="77777777" w:rsidR="00B87146" w:rsidRDefault="00B87146" w:rsidP="00C84DBB">
      <w:pPr>
        <w:rPr>
          <w:lang w:val="en-US"/>
        </w:rPr>
      </w:pPr>
    </w:p>
    <w:p w14:paraId="4E6AB755" w14:textId="77777777" w:rsidR="00600267" w:rsidRPr="00600267" w:rsidRDefault="00600267" w:rsidP="00674973">
      <w:pPr>
        <w:jc w:val="both"/>
        <w:rPr>
          <w:i/>
          <w:lang w:val="en-US"/>
        </w:rPr>
      </w:pPr>
      <w:r>
        <w:rPr>
          <w:lang w:val="en-US"/>
        </w:rPr>
        <w:t xml:space="preserve">As part of the ESCAPE </w:t>
      </w:r>
      <w:r w:rsidR="00D029E7">
        <w:rPr>
          <w:lang w:val="en-US"/>
        </w:rPr>
        <w:t xml:space="preserve">project’s </w:t>
      </w:r>
      <w:proofErr w:type="spellStart"/>
      <w:r>
        <w:rPr>
          <w:lang w:val="en-US"/>
        </w:rPr>
        <w:t>programme</w:t>
      </w:r>
      <w:proofErr w:type="spellEnd"/>
      <w:r>
        <w:rPr>
          <w:lang w:val="en-US"/>
        </w:rPr>
        <w:t xml:space="preserve"> of work, WP1: </w:t>
      </w:r>
      <w:r w:rsidRPr="00600267">
        <w:rPr>
          <w:lang w:val="en-US"/>
        </w:rPr>
        <w:t xml:space="preserve">MIND (Management, Innovation, Networking and Dissemination) </w:t>
      </w:r>
      <w:r w:rsidR="003A1B6F">
        <w:rPr>
          <w:lang w:val="en-US"/>
        </w:rPr>
        <w:t>states a</w:t>
      </w:r>
      <w:r w:rsidRPr="00600267">
        <w:rPr>
          <w:i/>
          <w:lang w:val="en-US"/>
        </w:rPr>
        <w:t xml:space="preserve"> </w:t>
      </w:r>
      <w:r w:rsidRPr="003A1B6F">
        <w:rPr>
          <w:lang w:val="en-US"/>
        </w:rPr>
        <w:t xml:space="preserve">network of industrial stakeholders already established by the different ESCAPE partners will be consolidated and considered for potential further cooperation on issues such as services and software developments, </w:t>
      </w:r>
      <w:r w:rsidRPr="003A1B6F">
        <w:rPr>
          <w:b/>
          <w:lang w:val="en-US"/>
        </w:rPr>
        <w:t>RIs data accessibility from commercial cloud services</w:t>
      </w:r>
      <w:r w:rsidRPr="003A1B6F">
        <w:rPr>
          <w:lang w:val="en-US"/>
        </w:rPr>
        <w:t>.</w:t>
      </w:r>
    </w:p>
    <w:p w14:paraId="421BE2A2" w14:textId="442F3499" w:rsidR="0011659D" w:rsidRDefault="00AC6667" w:rsidP="00674973">
      <w:pPr>
        <w:jc w:val="both"/>
        <w:rPr>
          <w:lang w:val="en-US"/>
        </w:rPr>
      </w:pPr>
      <w:r>
        <w:rPr>
          <w:lang w:val="en-US"/>
        </w:rPr>
        <w:t>To achieve this, t</w:t>
      </w:r>
      <w:r w:rsidR="00600267">
        <w:rPr>
          <w:lang w:val="en-US"/>
        </w:rPr>
        <w:t xml:space="preserve">he objective is to </w:t>
      </w:r>
      <w:r w:rsidR="00D029E7">
        <w:rPr>
          <w:lang w:val="en-US"/>
        </w:rPr>
        <w:t>p</w:t>
      </w:r>
      <w:r w:rsidR="00600267" w:rsidRPr="003A1B6F">
        <w:rPr>
          <w:lang w:val="en-US"/>
        </w:rPr>
        <w:t xml:space="preserve">ropose and plan potential innovation actions with </w:t>
      </w:r>
      <w:proofErr w:type="gramStart"/>
      <w:r w:rsidR="00600267" w:rsidRPr="003A1B6F">
        <w:rPr>
          <w:lang w:val="en-US"/>
        </w:rPr>
        <w:t>industries,</w:t>
      </w:r>
      <w:r w:rsidR="0011659D">
        <w:rPr>
          <w:lang w:val="en-US"/>
        </w:rPr>
        <w:t xml:space="preserve"> that</w:t>
      </w:r>
      <w:proofErr w:type="gramEnd"/>
      <w:r w:rsidR="0011659D">
        <w:rPr>
          <w:lang w:val="en-US"/>
        </w:rPr>
        <w:t xml:space="preserve"> can include</w:t>
      </w:r>
      <w:r w:rsidR="00600267" w:rsidRPr="003A1B6F">
        <w:rPr>
          <w:lang w:val="en-US"/>
        </w:rPr>
        <w:t xml:space="preserve"> co-development</w:t>
      </w:r>
      <w:r w:rsidR="0011659D">
        <w:rPr>
          <w:lang w:val="en-US"/>
        </w:rPr>
        <w:t xml:space="preserve"> and </w:t>
      </w:r>
      <w:r w:rsidR="00600267" w:rsidRPr="003A1B6F">
        <w:rPr>
          <w:lang w:val="en-US"/>
        </w:rPr>
        <w:t>procurement of some limited commercial cloud service capacity for test purpose, other validation tests, etc.</w:t>
      </w:r>
      <w:r w:rsidR="003A1B6F">
        <w:rPr>
          <w:lang w:val="en-US"/>
        </w:rPr>
        <w:t xml:space="preserve"> The budget includes 70,000</w:t>
      </w:r>
      <w:r w:rsidR="003A1B6F">
        <w:rPr>
          <w:rFonts w:cs="Calibri"/>
          <w:lang w:val="en-US"/>
        </w:rPr>
        <w:t xml:space="preserve">€ to </w:t>
      </w:r>
      <w:r w:rsidR="003A1B6F" w:rsidRPr="003A1B6F">
        <w:rPr>
          <w:rFonts w:cs="Calibri"/>
          <w:lang w:val="en-US"/>
        </w:rPr>
        <w:t>procure a limited commercial cloud service capacity</w:t>
      </w:r>
      <w:r w:rsidR="003A1B6F">
        <w:rPr>
          <w:rFonts w:cs="Calibri"/>
          <w:lang w:val="en-US"/>
        </w:rPr>
        <w:t>.</w:t>
      </w:r>
    </w:p>
    <w:p w14:paraId="25E41744" w14:textId="77777777" w:rsidR="003A1B6F" w:rsidRDefault="003A1B6F" w:rsidP="00674973">
      <w:pPr>
        <w:jc w:val="both"/>
        <w:rPr>
          <w:lang w:val="en-US"/>
        </w:rPr>
      </w:pPr>
    </w:p>
    <w:p w14:paraId="3A5D4639" w14:textId="6201ACD8" w:rsidR="003A1B6F" w:rsidRDefault="0011659D" w:rsidP="00674973">
      <w:pPr>
        <w:jc w:val="both"/>
        <w:rPr>
          <w:lang w:val="en-US"/>
        </w:rPr>
      </w:pPr>
      <w:r>
        <w:rPr>
          <w:lang w:val="en-US"/>
        </w:rPr>
        <w:t xml:space="preserve">ESCAPE </w:t>
      </w:r>
      <w:r w:rsidR="003A1B6F">
        <w:rPr>
          <w:lang w:val="en-US"/>
        </w:rPr>
        <w:t>WP2</w:t>
      </w:r>
      <w:r w:rsidR="00600267" w:rsidRPr="00600267">
        <w:rPr>
          <w:lang w:val="en-US"/>
        </w:rPr>
        <w:t xml:space="preserve"> DIOS (Data Infrastructure for Open Science)</w:t>
      </w:r>
      <w:r w:rsidR="00600267">
        <w:rPr>
          <w:lang w:val="en-US"/>
        </w:rPr>
        <w:t xml:space="preserve"> </w:t>
      </w:r>
      <w:r>
        <w:rPr>
          <w:lang w:val="en-US"/>
        </w:rPr>
        <w:t xml:space="preserve">aims to </w:t>
      </w:r>
      <w:r w:rsidR="00600267" w:rsidRPr="00600267">
        <w:rPr>
          <w:lang w:val="en-US"/>
        </w:rPr>
        <w:t>create a cloud of data services, often referred to as a “Data Lake” by building on and integrating existing work from a variety of areas</w:t>
      </w:r>
      <w:r w:rsidR="003A1B6F">
        <w:rPr>
          <w:lang w:val="en-US"/>
        </w:rPr>
        <w:t xml:space="preserve">. </w:t>
      </w:r>
      <w:r w:rsidR="003A1B6F" w:rsidRPr="003A1B6F">
        <w:rPr>
          <w:lang w:val="en-US"/>
        </w:rPr>
        <w:t xml:space="preserve">Compute services </w:t>
      </w:r>
      <w:proofErr w:type="gramStart"/>
      <w:r w:rsidR="003A1B6F" w:rsidRPr="003A1B6F">
        <w:rPr>
          <w:lang w:val="en-US"/>
        </w:rPr>
        <w:t>would be provided</w:t>
      </w:r>
      <w:proofErr w:type="gramEnd"/>
      <w:r w:rsidR="003A1B6F" w:rsidRPr="003A1B6F">
        <w:rPr>
          <w:lang w:val="en-US"/>
        </w:rPr>
        <w:t xml:space="preserve"> either in the data </w:t>
      </w:r>
      <w:proofErr w:type="spellStart"/>
      <w:r w:rsidR="003A1B6F" w:rsidRPr="003A1B6F">
        <w:rPr>
          <w:lang w:val="en-US"/>
        </w:rPr>
        <w:t>centres</w:t>
      </w:r>
      <w:proofErr w:type="spellEnd"/>
      <w:r w:rsidR="003A1B6F" w:rsidRPr="003A1B6F">
        <w:rPr>
          <w:lang w:val="en-US"/>
        </w:rPr>
        <w:t xml:space="preserve"> that form the data lake, or by well-connected compute resources (e.g. existing research data </w:t>
      </w:r>
      <w:proofErr w:type="spellStart"/>
      <w:r w:rsidR="003A1B6F" w:rsidRPr="003A1B6F">
        <w:rPr>
          <w:lang w:val="en-US"/>
        </w:rPr>
        <w:t>centres</w:t>
      </w:r>
      <w:proofErr w:type="spellEnd"/>
      <w:r w:rsidR="003A1B6F" w:rsidRPr="003A1B6F">
        <w:rPr>
          <w:lang w:val="en-US"/>
        </w:rPr>
        <w:t xml:space="preserve">, HPC resources, </w:t>
      </w:r>
      <w:r w:rsidR="003A1B6F" w:rsidRPr="003A1B6F">
        <w:rPr>
          <w:b/>
          <w:lang w:val="en-US"/>
        </w:rPr>
        <w:t>commercial cloud resources</w:t>
      </w:r>
      <w:r w:rsidR="003A1B6F" w:rsidRPr="003A1B6F">
        <w:rPr>
          <w:lang w:val="en-US"/>
        </w:rPr>
        <w:t xml:space="preserve"> – for example building on the results of </w:t>
      </w:r>
      <w:proofErr w:type="spellStart"/>
      <w:r w:rsidR="003A1B6F" w:rsidRPr="003A1B6F">
        <w:rPr>
          <w:lang w:val="en-US"/>
        </w:rPr>
        <w:t>HNSciCloud</w:t>
      </w:r>
      <w:proofErr w:type="spellEnd"/>
      <w:r w:rsidR="003A1B6F" w:rsidRPr="003A1B6F">
        <w:rPr>
          <w:lang w:val="en-US"/>
        </w:rPr>
        <w:t>, and volunteer computing).</w:t>
      </w:r>
    </w:p>
    <w:p w14:paraId="275BCD3A" w14:textId="7550BD72" w:rsidR="003A1B6F" w:rsidRDefault="003A1B6F" w:rsidP="00674973">
      <w:pPr>
        <w:jc w:val="both"/>
        <w:rPr>
          <w:lang w:val="en-US"/>
        </w:rPr>
      </w:pPr>
      <w:r w:rsidRPr="003A1B6F">
        <w:rPr>
          <w:lang w:val="en-US"/>
        </w:rPr>
        <w:t xml:space="preserve">Such data lake structure allows the underlying storage service to scale-out the capacity by adding additional large storage providers (data </w:t>
      </w:r>
      <w:proofErr w:type="spellStart"/>
      <w:r w:rsidRPr="003A1B6F">
        <w:rPr>
          <w:lang w:val="en-US"/>
        </w:rPr>
        <w:t>centres</w:t>
      </w:r>
      <w:proofErr w:type="spellEnd"/>
      <w:r w:rsidRPr="003A1B6F">
        <w:rPr>
          <w:lang w:val="en-US"/>
        </w:rPr>
        <w:t xml:space="preserve">).  This model also introduces directly the possibility to include </w:t>
      </w:r>
      <w:r w:rsidRPr="003A1B6F">
        <w:rPr>
          <w:b/>
          <w:lang w:val="en-US"/>
        </w:rPr>
        <w:t>commercial service providers</w:t>
      </w:r>
      <w:r w:rsidRPr="003A1B6F">
        <w:rPr>
          <w:lang w:val="en-US"/>
        </w:rPr>
        <w:t xml:space="preserve"> as physical storage sites.</w:t>
      </w:r>
    </w:p>
    <w:p w14:paraId="07DCFFB8" w14:textId="5AEAC8BA" w:rsidR="003A1B6F" w:rsidRPr="003A1B6F" w:rsidRDefault="003A1B6F" w:rsidP="00674973">
      <w:pPr>
        <w:jc w:val="both"/>
        <w:rPr>
          <w:lang w:val="en-US"/>
        </w:rPr>
      </w:pPr>
      <w:r w:rsidRPr="003A1B6F">
        <w:rPr>
          <w:lang w:val="en-US"/>
        </w:rPr>
        <w:t xml:space="preserve">The data-lake model </w:t>
      </w:r>
      <w:proofErr w:type="gramStart"/>
      <w:r w:rsidRPr="003A1B6F">
        <w:rPr>
          <w:lang w:val="en-US"/>
        </w:rPr>
        <w:t>is constructed</w:t>
      </w:r>
      <w:proofErr w:type="gramEnd"/>
      <w:r w:rsidRPr="003A1B6F">
        <w:rPr>
          <w:lang w:val="en-US"/>
        </w:rPr>
        <w:t xml:space="preserve"> to allow data </w:t>
      </w:r>
      <w:proofErr w:type="spellStart"/>
      <w:r w:rsidRPr="003A1B6F">
        <w:rPr>
          <w:lang w:val="en-US"/>
        </w:rPr>
        <w:t>centres</w:t>
      </w:r>
      <w:proofErr w:type="spellEnd"/>
      <w:r w:rsidRPr="003A1B6F">
        <w:rPr>
          <w:lang w:val="en-US"/>
        </w:rPr>
        <w:t xml:space="preserve"> to </w:t>
      </w:r>
      <w:r w:rsidR="00534680">
        <w:rPr>
          <w:lang w:val="en-US"/>
        </w:rPr>
        <w:t>join/</w:t>
      </w:r>
      <w:r w:rsidRPr="003A1B6F">
        <w:rPr>
          <w:lang w:val="en-US"/>
        </w:rPr>
        <w:t xml:space="preserve">leave the infrastructure, whilst assuring the overall security and availability of the data, not relying on any single data </w:t>
      </w:r>
      <w:proofErr w:type="spellStart"/>
      <w:r w:rsidRPr="003A1B6F">
        <w:rPr>
          <w:lang w:val="en-US"/>
        </w:rPr>
        <w:t>centre</w:t>
      </w:r>
      <w:proofErr w:type="spellEnd"/>
      <w:r w:rsidRPr="003A1B6F">
        <w:rPr>
          <w:lang w:val="en-US"/>
        </w:rPr>
        <w:t xml:space="preserve">.  </w:t>
      </w:r>
      <w:proofErr w:type="gramStart"/>
      <w:r w:rsidRPr="003A1B6F">
        <w:rPr>
          <w:lang w:val="en-US"/>
        </w:rPr>
        <w:t xml:space="preserve">This is an ideal mechanism by which </w:t>
      </w:r>
      <w:r w:rsidR="00534680">
        <w:rPr>
          <w:lang w:val="en-US"/>
        </w:rPr>
        <w:t xml:space="preserve">public </w:t>
      </w:r>
      <w:r w:rsidRPr="003A1B6F">
        <w:rPr>
          <w:b/>
          <w:lang w:val="en-US"/>
        </w:rPr>
        <w:t>commercial c</w:t>
      </w:r>
      <w:r w:rsidR="00534680">
        <w:rPr>
          <w:b/>
          <w:lang w:val="en-US"/>
        </w:rPr>
        <w:t>louds</w:t>
      </w:r>
      <w:r w:rsidRPr="003A1B6F">
        <w:rPr>
          <w:lang w:val="en-US"/>
        </w:rPr>
        <w:t xml:space="preserve"> can participate as data storage sites, permitting a tendering process to select different </w:t>
      </w:r>
      <w:r w:rsidR="00534680">
        <w:rPr>
          <w:lang w:val="en-US"/>
        </w:rPr>
        <w:t>providers</w:t>
      </w:r>
      <w:r w:rsidRPr="003A1B6F">
        <w:rPr>
          <w:lang w:val="en-US"/>
        </w:rPr>
        <w:t xml:space="preserve"> over time.</w:t>
      </w:r>
      <w:proofErr w:type="gramEnd"/>
      <w:r w:rsidRPr="003A1B6F">
        <w:rPr>
          <w:lang w:val="en-US"/>
        </w:rPr>
        <w:t xml:space="preserve"> </w:t>
      </w:r>
    </w:p>
    <w:p w14:paraId="10BACB16" w14:textId="77777777" w:rsidR="00534680" w:rsidRDefault="003A1B6F" w:rsidP="00534680">
      <w:pPr>
        <w:jc w:val="both"/>
        <w:rPr>
          <w:lang w:val="en-US"/>
        </w:rPr>
      </w:pPr>
      <w:r w:rsidRPr="003A1B6F">
        <w:rPr>
          <w:lang w:val="en-US"/>
        </w:rPr>
        <w:t xml:space="preserve">The model </w:t>
      </w:r>
      <w:proofErr w:type="gramStart"/>
      <w:r w:rsidRPr="003A1B6F">
        <w:rPr>
          <w:lang w:val="en-US"/>
        </w:rPr>
        <w:t>is also designed</w:t>
      </w:r>
      <w:proofErr w:type="gramEnd"/>
      <w:r w:rsidRPr="003A1B6F">
        <w:rPr>
          <w:lang w:val="en-US"/>
        </w:rPr>
        <w:t xml:space="preserve"> to be flexible and highly adaptable to how compute resources can be made available.  It </w:t>
      </w:r>
      <w:proofErr w:type="gramStart"/>
      <w:r w:rsidRPr="003A1B6F">
        <w:rPr>
          <w:lang w:val="en-US"/>
        </w:rPr>
        <w:t>is assumed</w:t>
      </w:r>
      <w:proofErr w:type="gramEnd"/>
      <w:r w:rsidRPr="003A1B6F">
        <w:rPr>
          <w:lang w:val="en-US"/>
        </w:rPr>
        <w:t xml:space="preserve"> that some of those resources will be cloud </w:t>
      </w:r>
      <w:proofErr w:type="spellStart"/>
      <w:r w:rsidRPr="003A1B6F">
        <w:rPr>
          <w:lang w:val="en-US"/>
        </w:rPr>
        <w:t>centres</w:t>
      </w:r>
      <w:proofErr w:type="spellEnd"/>
      <w:r w:rsidRPr="003A1B6F">
        <w:rPr>
          <w:lang w:val="en-US"/>
        </w:rPr>
        <w:t xml:space="preserve">, and WP2 will validate the use of </w:t>
      </w:r>
      <w:r w:rsidRPr="003A1B6F">
        <w:rPr>
          <w:b/>
          <w:lang w:val="en-US"/>
        </w:rPr>
        <w:t>commercial cloud resources</w:t>
      </w:r>
      <w:r w:rsidRPr="003A1B6F">
        <w:rPr>
          <w:lang w:val="en-US"/>
        </w:rPr>
        <w:t xml:space="preserve"> in this model by verifying that RI</w:t>
      </w:r>
      <w:r w:rsidR="00534680">
        <w:rPr>
          <w:lang w:val="en-US"/>
        </w:rPr>
        <w:t>s</w:t>
      </w:r>
      <w:r w:rsidRPr="003A1B6F">
        <w:rPr>
          <w:lang w:val="en-US"/>
        </w:rPr>
        <w:t xml:space="preserve"> data is accessible from commercial cloud resources.</w:t>
      </w:r>
      <w:r>
        <w:rPr>
          <w:lang w:val="en-US"/>
        </w:rPr>
        <w:t xml:space="preserve"> </w:t>
      </w:r>
      <w:bookmarkStart w:id="0" w:name="_GoBack"/>
      <w:bookmarkEnd w:id="0"/>
    </w:p>
    <w:p w14:paraId="06AF79F1" w14:textId="09FF7912" w:rsidR="003A1B6F" w:rsidRPr="003A1B6F" w:rsidRDefault="003A1B6F" w:rsidP="00674973">
      <w:pPr>
        <w:jc w:val="both"/>
        <w:rPr>
          <w:b/>
          <w:lang w:val="en-US"/>
        </w:rPr>
      </w:pPr>
      <w:r w:rsidRPr="003A1B6F">
        <w:rPr>
          <w:lang w:val="en-US"/>
        </w:rPr>
        <w:lastRenderedPageBreak/>
        <w:t xml:space="preserve">A policy mechanism will be used to define which data sets can be stored in which data </w:t>
      </w:r>
      <w:proofErr w:type="spellStart"/>
      <w:r w:rsidRPr="003A1B6F">
        <w:rPr>
          <w:lang w:val="en-US"/>
        </w:rPr>
        <w:t>centres</w:t>
      </w:r>
      <w:proofErr w:type="spellEnd"/>
      <w:r w:rsidRPr="003A1B6F">
        <w:rPr>
          <w:lang w:val="en-US"/>
        </w:rPr>
        <w:t xml:space="preserve"> (including the possibility to use</w:t>
      </w:r>
      <w:r w:rsidR="00EA064B">
        <w:rPr>
          <w:b/>
          <w:lang w:val="en-US"/>
        </w:rPr>
        <w:t xml:space="preserve"> public cloud data </w:t>
      </w:r>
      <w:proofErr w:type="spellStart"/>
      <w:r w:rsidRPr="003A1B6F">
        <w:rPr>
          <w:b/>
          <w:lang w:val="en-US"/>
        </w:rPr>
        <w:t>centres</w:t>
      </w:r>
      <w:proofErr w:type="spellEnd"/>
      <w:r w:rsidRPr="003A1B6F">
        <w:rPr>
          <w:lang w:val="en-US"/>
        </w:rPr>
        <w:t>), and to define replication and access policies.</w:t>
      </w:r>
      <w:r w:rsidR="00534680">
        <w:rPr>
          <w:lang w:val="en-US"/>
        </w:rPr>
        <w:t xml:space="preserve"> The work of WP2</w:t>
      </w:r>
      <w:r w:rsidRPr="003A1B6F">
        <w:rPr>
          <w:lang w:val="en-US"/>
        </w:rPr>
        <w:t xml:space="preserve"> will validate that RI data is accessible from a variety of platforms including </w:t>
      </w:r>
      <w:r w:rsidRPr="003A1B6F">
        <w:rPr>
          <w:b/>
          <w:lang w:val="en-US"/>
        </w:rPr>
        <w:t xml:space="preserve">commercial </w:t>
      </w:r>
    </w:p>
    <w:p w14:paraId="4EC82242" w14:textId="28D45AA4" w:rsidR="00C84DBB" w:rsidRDefault="003A1B6F" w:rsidP="00C84DBB">
      <w:pPr>
        <w:rPr>
          <w:lang w:val="en-US"/>
        </w:rPr>
      </w:pPr>
      <w:proofErr w:type="gramStart"/>
      <w:r w:rsidRPr="003A1B6F">
        <w:rPr>
          <w:b/>
          <w:lang w:val="en-US"/>
        </w:rPr>
        <w:t>cloud</w:t>
      </w:r>
      <w:proofErr w:type="gramEnd"/>
      <w:r w:rsidRPr="003A1B6F">
        <w:rPr>
          <w:b/>
          <w:lang w:val="en-US"/>
        </w:rPr>
        <w:t xml:space="preserve"> resources</w:t>
      </w:r>
      <w:r w:rsidR="00B87146">
        <w:rPr>
          <w:lang w:val="en-US"/>
        </w:rPr>
        <w:t xml:space="preserve"> (Milestone </w:t>
      </w:r>
      <w:r w:rsidRPr="003A1B6F">
        <w:rPr>
          <w:lang w:val="en-US"/>
        </w:rPr>
        <w:t>2.4</w:t>
      </w:r>
      <w:r>
        <w:rPr>
          <w:lang w:val="en-US"/>
        </w:rPr>
        <w:t xml:space="preserve"> at month 24</w:t>
      </w:r>
      <w:r w:rsidRPr="003A1B6F">
        <w:rPr>
          <w:lang w:val="en-US"/>
        </w:rPr>
        <w:t>).</w:t>
      </w:r>
    </w:p>
    <w:p w14:paraId="6ED70CF3" w14:textId="77777777" w:rsidR="00C84DBB" w:rsidRDefault="00C84DBB" w:rsidP="00B87146">
      <w:pPr>
        <w:pStyle w:val="Titre1"/>
        <w:rPr>
          <w:lang w:val="en-US"/>
        </w:rPr>
      </w:pPr>
      <w:r w:rsidRPr="00C84DBB">
        <w:rPr>
          <w:lang w:val="en-US"/>
        </w:rPr>
        <w:t>MECHANICS:</w:t>
      </w:r>
      <w:r>
        <w:rPr>
          <w:lang w:val="en-US"/>
        </w:rPr>
        <w:t xml:space="preserve"> </w:t>
      </w:r>
      <w:r w:rsidRPr="00C84DBB">
        <w:rPr>
          <w:b/>
          <w:lang w:val="en-US"/>
        </w:rPr>
        <w:t>M</w:t>
      </w:r>
      <w:r w:rsidRPr="00C84DBB">
        <w:rPr>
          <w:lang w:val="en-US"/>
        </w:rPr>
        <w:t xml:space="preserve">aking </w:t>
      </w:r>
      <w:r w:rsidRPr="00C84DBB">
        <w:rPr>
          <w:b/>
          <w:lang w:val="en-US"/>
        </w:rPr>
        <w:t>E</w:t>
      </w:r>
      <w:r w:rsidRPr="00C84DBB">
        <w:rPr>
          <w:lang w:val="en-US"/>
        </w:rPr>
        <w:t xml:space="preserve">uropean </w:t>
      </w:r>
      <w:r w:rsidRPr="00C84DBB">
        <w:rPr>
          <w:b/>
          <w:lang w:val="en-US"/>
        </w:rPr>
        <w:t>C</w:t>
      </w:r>
      <w:r w:rsidRPr="00C84DBB">
        <w:rPr>
          <w:lang w:val="en-US"/>
        </w:rPr>
        <w:t xml:space="preserve">loud and </w:t>
      </w:r>
      <w:r w:rsidRPr="00C84DBB">
        <w:rPr>
          <w:b/>
          <w:lang w:val="en-US"/>
        </w:rPr>
        <w:t>H</w:t>
      </w:r>
      <w:r w:rsidRPr="00C84DBB">
        <w:rPr>
          <w:lang w:val="en-US"/>
        </w:rPr>
        <w:t xml:space="preserve">PC resources </w:t>
      </w:r>
      <w:r w:rsidRPr="00C84DBB">
        <w:rPr>
          <w:b/>
          <w:lang w:val="en-US"/>
        </w:rPr>
        <w:t>A</w:t>
      </w:r>
      <w:r w:rsidRPr="00C84DBB">
        <w:rPr>
          <w:lang w:val="en-US"/>
        </w:rPr>
        <w:t xml:space="preserve">vailable – a </w:t>
      </w:r>
      <w:r w:rsidRPr="00C84DBB">
        <w:rPr>
          <w:b/>
          <w:lang w:val="en-US"/>
        </w:rPr>
        <w:t>N</w:t>
      </w:r>
      <w:r w:rsidRPr="00C84DBB">
        <w:rPr>
          <w:lang w:val="en-US"/>
        </w:rPr>
        <w:t xml:space="preserve">etwork, </w:t>
      </w:r>
      <w:r w:rsidRPr="00C84DBB">
        <w:rPr>
          <w:b/>
          <w:lang w:val="en-US"/>
        </w:rPr>
        <w:t>I</w:t>
      </w:r>
      <w:r w:rsidRPr="00C84DBB">
        <w:rPr>
          <w:lang w:val="en-US"/>
        </w:rPr>
        <w:t xml:space="preserve">nfrastructure and </w:t>
      </w:r>
      <w:r w:rsidRPr="00C84DBB">
        <w:rPr>
          <w:b/>
          <w:lang w:val="en-US"/>
        </w:rPr>
        <w:t>C</w:t>
      </w:r>
      <w:r w:rsidRPr="00C84DBB">
        <w:rPr>
          <w:lang w:val="en-US"/>
        </w:rPr>
        <w:t xml:space="preserve">loud </w:t>
      </w:r>
      <w:r w:rsidRPr="00C84DBB">
        <w:rPr>
          <w:b/>
          <w:lang w:val="en-US"/>
        </w:rPr>
        <w:t>S</w:t>
      </w:r>
      <w:r w:rsidRPr="00C84DBB">
        <w:rPr>
          <w:lang w:val="en-US"/>
        </w:rPr>
        <w:t>ecurity project</w:t>
      </w:r>
    </w:p>
    <w:p w14:paraId="4B18B159" w14:textId="77777777" w:rsidR="00C84DBB" w:rsidRDefault="00C84DBB" w:rsidP="00C84DBB">
      <w:pPr>
        <w:rPr>
          <w:lang w:val="en-US"/>
        </w:rPr>
      </w:pPr>
    </w:p>
    <w:p w14:paraId="0D5892E7" w14:textId="77777777" w:rsidR="00B87146" w:rsidRDefault="00B87146" w:rsidP="00C84DBB">
      <w:pPr>
        <w:rPr>
          <w:lang w:val="en-US"/>
        </w:rPr>
      </w:pPr>
      <w:r>
        <w:rPr>
          <w:lang w:val="en-US"/>
        </w:rPr>
        <w:t xml:space="preserve">MECHANICS is a proposal to </w:t>
      </w:r>
      <w:proofErr w:type="gramStart"/>
      <w:r>
        <w:rPr>
          <w:lang w:val="en-US"/>
        </w:rPr>
        <w:t>be submitted</w:t>
      </w:r>
      <w:proofErr w:type="gramEnd"/>
      <w:r>
        <w:rPr>
          <w:lang w:val="en-US"/>
        </w:rPr>
        <w:t xml:space="preserve"> to the ICT-40-2020 funding call with a deadline of 17 June 2020</w:t>
      </w:r>
      <w:r>
        <w:rPr>
          <w:rStyle w:val="Appelnotedebasdep"/>
          <w:lang w:val="en-US"/>
        </w:rPr>
        <w:footnoteReference w:id="1"/>
      </w:r>
      <w:r>
        <w:rPr>
          <w:lang w:val="en-US"/>
        </w:rPr>
        <w:t>.</w:t>
      </w:r>
    </w:p>
    <w:p w14:paraId="3268E843" w14:textId="6E40EC9F" w:rsidR="00C84DBB" w:rsidRDefault="00C84DBB" w:rsidP="00534680">
      <w:pPr>
        <w:jc w:val="both"/>
        <w:rPr>
          <w:lang w:val="en-US"/>
        </w:rPr>
      </w:pPr>
      <w:r w:rsidRPr="00C84DBB">
        <w:rPr>
          <w:lang w:val="en-US"/>
        </w:rPr>
        <w:t>High Performance Computing has become the underlying infrastructure of today’s digital society with its ability to manage abundant data and complexity. HPC enables personalized medicine, autonomous systems, and climate simulations, among other applications. Likewise, cloud infrastructures are now the vehicle of choice for delivering IT resources. Furthermore, energy efficiency has gained mayor importance.</w:t>
      </w:r>
      <w:r w:rsidR="00534680">
        <w:rPr>
          <w:lang w:val="en-US"/>
        </w:rPr>
        <w:t xml:space="preserve"> </w:t>
      </w:r>
      <w:r w:rsidRPr="00C84DBB">
        <w:rPr>
          <w:lang w:val="en-US"/>
        </w:rPr>
        <w:t xml:space="preserve">Integrating Europe’s forthcoming </w:t>
      </w:r>
      <w:proofErr w:type="spellStart"/>
      <w:r w:rsidRPr="00C84DBB">
        <w:rPr>
          <w:lang w:val="en-US"/>
        </w:rPr>
        <w:t>EuroHPC</w:t>
      </w:r>
      <w:proofErr w:type="spellEnd"/>
      <w:r w:rsidRPr="00C84DBB">
        <w:rPr>
          <w:lang w:val="en-US"/>
        </w:rPr>
        <w:t xml:space="preserve"> infrastructure into public cloud environments would make innovative, rare, resources available to large enterprises, public research </w:t>
      </w:r>
      <w:proofErr w:type="spellStart"/>
      <w:r w:rsidRPr="00C84DBB">
        <w:rPr>
          <w:lang w:val="en-US"/>
        </w:rPr>
        <w:t>organisations</w:t>
      </w:r>
      <w:proofErr w:type="spellEnd"/>
      <w:r w:rsidRPr="00C84DBB">
        <w:rPr>
          <w:lang w:val="en-US"/>
        </w:rPr>
        <w:t xml:space="preserve"> and SMEs. As Europe lacks </w:t>
      </w:r>
      <w:proofErr w:type="spellStart"/>
      <w:r w:rsidRPr="00C84DBB">
        <w:rPr>
          <w:lang w:val="en-US"/>
        </w:rPr>
        <w:t>hyperscalers</w:t>
      </w:r>
      <w:proofErr w:type="spellEnd"/>
      <w:r w:rsidRPr="00C84DBB">
        <w:rPr>
          <w:lang w:val="en-US"/>
        </w:rPr>
        <w:t>, a federated approach providing efficient access and orchestration for end users can provide the required capacity and functionality.</w:t>
      </w:r>
    </w:p>
    <w:p w14:paraId="12B719EA" w14:textId="77777777" w:rsidR="00534680" w:rsidRPr="00C84DBB" w:rsidRDefault="00534680" w:rsidP="00674973">
      <w:pPr>
        <w:jc w:val="both"/>
        <w:rPr>
          <w:lang w:val="en-US"/>
        </w:rPr>
      </w:pPr>
    </w:p>
    <w:p w14:paraId="771A012C" w14:textId="4BC28267" w:rsidR="00534680" w:rsidRDefault="00C84DBB" w:rsidP="00534680">
      <w:pPr>
        <w:jc w:val="both"/>
        <w:rPr>
          <w:lang w:val="en-US"/>
        </w:rPr>
      </w:pPr>
      <w:r w:rsidRPr="00C84DBB">
        <w:rPr>
          <w:lang w:val="en-US"/>
        </w:rPr>
        <w:t>The MECHANICS proposal</w:t>
      </w:r>
      <w:r w:rsidR="00534680">
        <w:rPr>
          <w:lang w:val="en-US"/>
        </w:rPr>
        <w:t xml:space="preserve"> aims to</w:t>
      </w:r>
      <w:r w:rsidRPr="00C84DBB">
        <w:rPr>
          <w:lang w:val="en-US"/>
        </w:rPr>
        <w:t xml:space="preserve"> prove the feasibility of a public cloud-based approach, covering the </w:t>
      </w:r>
      <w:proofErr w:type="gramStart"/>
      <w:r w:rsidRPr="00C84DBB">
        <w:rPr>
          <w:lang w:val="en-US"/>
        </w:rPr>
        <w:t>planned</w:t>
      </w:r>
      <w:proofErr w:type="gramEnd"/>
      <w:r w:rsidRPr="00C84DBB">
        <w:rPr>
          <w:lang w:val="en-US"/>
        </w:rPr>
        <w:t xml:space="preserve"> European Cloud Federation (ECF) and industrial partner access to </w:t>
      </w:r>
      <w:proofErr w:type="spellStart"/>
      <w:r w:rsidRPr="00C84DBB">
        <w:rPr>
          <w:lang w:val="en-US"/>
        </w:rPr>
        <w:t>EuroHPC</w:t>
      </w:r>
      <w:proofErr w:type="spellEnd"/>
      <w:r w:rsidRPr="00C84DBB">
        <w:rPr>
          <w:lang w:val="en-US"/>
        </w:rPr>
        <w:t xml:space="preserve"> computing resources. </w:t>
      </w:r>
    </w:p>
    <w:p w14:paraId="7DA32CA0" w14:textId="2B2D1F92" w:rsidR="00C84DBB" w:rsidRDefault="00C84DBB" w:rsidP="00534680">
      <w:pPr>
        <w:jc w:val="both"/>
        <w:rPr>
          <w:lang w:val="en-US"/>
        </w:rPr>
      </w:pPr>
      <w:r w:rsidRPr="00C84DBB">
        <w:rPr>
          <w:lang w:val="en-US"/>
        </w:rPr>
        <w:t xml:space="preserve">The following proposed measures lay the groundwork for providing HPC, QC and </w:t>
      </w:r>
      <w:proofErr w:type="spellStart"/>
      <w:r w:rsidRPr="00C84DBB">
        <w:rPr>
          <w:lang w:val="en-US"/>
        </w:rPr>
        <w:t>IoT</w:t>
      </w:r>
      <w:proofErr w:type="spellEnd"/>
      <w:r w:rsidRPr="00C84DBB">
        <w:rPr>
          <w:lang w:val="en-US"/>
        </w:rPr>
        <w:t xml:space="preserve"> services securely within European dataspaces</w:t>
      </w:r>
      <w:r w:rsidR="00534680">
        <w:rPr>
          <w:lang w:val="en-US"/>
        </w:rPr>
        <w:t xml:space="preserve"> within the European legal framework</w:t>
      </w:r>
      <w:r w:rsidRPr="00C84DBB">
        <w:rPr>
          <w:lang w:val="en-US"/>
        </w:rPr>
        <w:t xml:space="preserve"> in a highly energy efficient manner</w:t>
      </w:r>
      <w:r w:rsidR="00534680">
        <w:rPr>
          <w:lang w:val="en-US"/>
        </w:rPr>
        <w:t>. It aims to provide</w:t>
      </w:r>
      <w:r w:rsidRPr="00C84DBB">
        <w:rPr>
          <w:lang w:val="en-US"/>
        </w:rPr>
        <w:t>:</w:t>
      </w:r>
    </w:p>
    <w:p w14:paraId="3F47854B" w14:textId="77777777" w:rsidR="00534680" w:rsidRPr="00C84DBB" w:rsidRDefault="00534680" w:rsidP="00674973">
      <w:pPr>
        <w:jc w:val="both"/>
        <w:rPr>
          <w:lang w:val="en-US"/>
        </w:rPr>
      </w:pPr>
    </w:p>
    <w:p w14:paraId="77F3F19B" w14:textId="00117FF7" w:rsidR="00C84DBB" w:rsidRPr="00C84DBB" w:rsidRDefault="00C84DBB" w:rsidP="00674973">
      <w:pPr>
        <w:numPr>
          <w:ilvl w:val="0"/>
          <w:numId w:val="1"/>
        </w:numPr>
        <w:jc w:val="both"/>
        <w:rPr>
          <w:lang w:val="en-US"/>
        </w:rPr>
      </w:pPr>
      <w:r w:rsidRPr="00C84DBB">
        <w:rPr>
          <w:lang w:val="en-US"/>
        </w:rPr>
        <w:t xml:space="preserve">A security model for the ECF including Secure Terabit Connectivity </w:t>
      </w:r>
      <w:proofErr w:type="gramStart"/>
      <w:r w:rsidRPr="00C84DBB">
        <w:rPr>
          <w:lang w:val="en-US"/>
        </w:rPr>
        <w:t xml:space="preserve">both for the ECF and </w:t>
      </w:r>
      <w:proofErr w:type="spellStart"/>
      <w:r w:rsidRPr="00C84DBB">
        <w:rPr>
          <w:lang w:val="en-US"/>
        </w:rPr>
        <w:t>EuroHPC</w:t>
      </w:r>
      <w:proofErr w:type="spellEnd"/>
      <w:proofErr w:type="gramEnd"/>
      <w:r w:rsidRPr="00C84DBB">
        <w:rPr>
          <w:lang w:val="en-US"/>
        </w:rPr>
        <w:t xml:space="preserve"> will identify security requirements of the cloud-federation and </w:t>
      </w:r>
      <w:proofErr w:type="spellStart"/>
      <w:r w:rsidRPr="00C84DBB">
        <w:rPr>
          <w:lang w:val="en-US"/>
        </w:rPr>
        <w:t>EuroHPC</w:t>
      </w:r>
      <w:proofErr w:type="spellEnd"/>
      <w:r w:rsidRPr="00C84DBB">
        <w:rPr>
          <w:lang w:val="en-US"/>
        </w:rPr>
        <w:t xml:space="preserve"> (including Quantum Computing (QC)) to enable industrial stakeholder access.</w:t>
      </w:r>
    </w:p>
    <w:p w14:paraId="6488AE55" w14:textId="77777777" w:rsidR="00C84DBB" w:rsidRPr="00C84DBB" w:rsidRDefault="00C84DBB" w:rsidP="00674973">
      <w:pPr>
        <w:numPr>
          <w:ilvl w:val="0"/>
          <w:numId w:val="1"/>
        </w:numPr>
        <w:jc w:val="both"/>
        <w:rPr>
          <w:lang w:val="en-US"/>
        </w:rPr>
      </w:pPr>
      <w:r w:rsidRPr="00C84DBB">
        <w:rPr>
          <w:lang w:val="en-US"/>
        </w:rPr>
        <w:t>A Proof of Concept (</w:t>
      </w:r>
      <w:proofErr w:type="spellStart"/>
      <w:r w:rsidRPr="00C84DBB">
        <w:rPr>
          <w:lang w:val="en-US"/>
        </w:rPr>
        <w:t>PoC</w:t>
      </w:r>
      <w:proofErr w:type="spellEnd"/>
      <w:r w:rsidRPr="00C84DBB">
        <w:rPr>
          <w:lang w:val="en-US"/>
        </w:rPr>
        <w:t xml:space="preserve">) prototyping aspects of the security concept will demonstrate energy efficient, high bandwidth, high </w:t>
      </w:r>
      <w:proofErr w:type="spellStart"/>
      <w:r w:rsidRPr="00C84DBB">
        <w:rPr>
          <w:lang w:val="en-US"/>
        </w:rPr>
        <w:t>QoS</w:t>
      </w:r>
      <w:proofErr w:type="spellEnd"/>
      <w:r w:rsidRPr="00C84DBB">
        <w:rPr>
          <w:lang w:val="en-US"/>
        </w:rPr>
        <w:t>, secure distribution of computing resources:</w:t>
      </w:r>
    </w:p>
    <w:p w14:paraId="6A94E9CA" w14:textId="15A02282" w:rsidR="00C84DBB" w:rsidRPr="00C84DBB" w:rsidRDefault="00C84DBB" w:rsidP="00674973">
      <w:pPr>
        <w:numPr>
          <w:ilvl w:val="1"/>
          <w:numId w:val="1"/>
        </w:numPr>
        <w:jc w:val="both"/>
        <w:rPr>
          <w:lang w:val="en-US"/>
        </w:rPr>
      </w:pPr>
      <w:r w:rsidRPr="00C84DBB">
        <w:rPr>
          <w:b/>
          <w:bCs/>
          <w:lang w:val="en-US"/>
        </w:rPr>
        <w:t>High Throughput Computing (HTC)</w:t>
      </w:r>
      <w:r w:rsidRPr="00C84DBB">
        <w:rPr>
          <w:lang w:val="en-US"/>
        </w:rPr>
        <w:t xml:space="preserve"> resources, physically located either on the public cloud or at CERN’s computing center, will be integrated into the cloud </w:t>
      </w:r>
      <w:proofErr w:type="gramStart"/>
      <w:r w:rsidRPr="00C84DBB">
        <w:rPr>
          <w:lang w:val="en-US"/>
        </w:rPr>
        <w:t>service offering</w:t>
      </w:r>
      <w:proofErr w:type="gramEnd"/>
      <w:r w:rsidRPr="00C84DBB">
        <w:rPr>
          <w:lang w:val="en-US"/>
        </w:rPr>
        <w:t xml:space="preserve"> portfolio. This will reduce the need to transport LHC collision data to each relevant institute. </w:t>
      </w:r>
      <w:r w:rsidRPr="00C84DBB">
        <w:rPr>
          <w:b/>
          <w:lang w:val="en-US"/>
        </w:rPr>
        <w:t>(D</w:t>
      </w:r>
      <w:r w:rsidR="00534680">
        <w:rPr>
          <w:b/>
          <w:lang w:val="en-US"/>
        </w:rPr>
        <w:t>ata</w:t>
      </w:r>
      <w:r w:rsidRPr="00C84DBB">
        <w:rPr>
          <w:b/>
          <w:lang w:val="en-US"/>
        </w:rPr>
        <w:t xml:space="preserve"> </w:t>
      </w:r>
      <w:r w:rsidR="00534680">
        <w:rPr>
          <w:b/>
          <w:lang w:val="en-US"/>
        </w:rPr>
        <w:t>Lake Model</w:t>
      </w:r>
      <w:r w:rsidRPr="00C84DBB">
        <w:rPr>
          <w:b/>
          <w:lang w:val="en-US"/>
        </w:rPr>
        <w:t>)</w:t>
      </w:r>
    </w:p>
    <w:p w14:paraId="6DD9CE56" w14:textId="374EB953" w:rsidR="00C84DBB" w:rsidRPr="00C84DBB" w:rsidRDefault="00C84DBB" w:rsidP="00674973">
      <w:pPr>
        <w:numPr>
          <w:ilvl w:val="1"/>
          <w:numId w:val="1"/>
        </w:numPr>
        <w:jc w:val="both"/>
        <w:rPr>
          <w:lang w:val="en-US"/>
        </w:rPr>
      </w:pPr>
      <w:r w:rsidRPr="00C84DBB">
        <w:rPr>
          <w:b/>
          <w:bCs/>
          <w:lang w:val="en-US"/>
        </w:rPr>
        <w:t>Q</w:t>
      </w:r>
      <w:r w:rsidR="00534680">
        <w:rPr>
          <w:b/>
          <w:bCs/>
          <w:lang w:val="en-US"/>
        </w:rPr>
        <w:t xml:space="preserve">uantum </w:t>
      </w:r>
      <w:r w:rsidRPr="00C84DBB">
        <w:rPr>
          <w:b/>
          <w:bCs/>
          <w:lang w:val="en-US"/>
        </w:rPr>
        <w:t>C</w:t>
      </w:r>
      <w:r w:rsidR="00534680">
        <w:rPr>
          <w:b/>
          <w:bCs/>
          <w:lang w:val="en-US"/>
        </w:rPr>
        <w:t>omputing (QC)</w:t>
      </w:r>
      <w:r w:rsidRPr="00C84DBB">
        <w:rPr>
          <w:lang w:val="en-US"/>
        </w:rPr>
        <w:t xml:space="preserve"> resources will be integrated into the cloud service offering </w:t>
      </w:r>
      <w:r w:rsidR="00534680">
        <w:rPr>
          <w:lang w:val="en-US"/>
        </w:rPr>
        <w:t xml:space="preserve">a </w:t>
      </w:r>
      <w:r w:rsidRPr="00C84DBB">
        <w:rPr>
          <w:lang w:val="en-US"/>
        </w:rPr>
        <w:t>portfolio to optimize and accelerate processes for complex industrial systems,</w:t>
      </w:r>
      <w:r w:rsidR="00E90B36">
        <w:rPr>
          <w:lang w:val="en-US"/>
        </w:rPr>
        <w:t xml:space="preserve"> exploring models that will make them </w:t>
      </w:r>
      <w:r w:rsidR="00E90B36" w:rsidRPr="004818C3">
        <w:rPr>
          <w:lang w:val="en-US"/>
        </w:rPr>
        <w:t>ubiquitous</w:t>
      </w:r>
      <w:r w:rsidR="00E90B36">
        <w:rPr>
          <w:lang w:val="en-US"/>
        </w:rPr>
        <w:t xml:space="preserve"> and generally </w:t>
      </w:r>
      <w:r w:rsidR="00E90B36" w:rsidRPr="004818C3">
        <w:rPr>
          <w:lang w:val="en-US"/>
        </w:rPr>
        <w:t xml:space="preserve">available for </w:t>
      </w:r>
      <w:proofErr w:type="gramStart"/>
      <w:r w:rsidR="00E90B36" w:rsidRPr="004818C3">
        <w:rPr>
          <w:lang w:val="en-US"/>
        </w:rPr>
        <w:t>all</w:t>
      </w:r>
      <w:r w:rsidR="00E90B36" w:rsidRPr="00C84DBB" w:rsidDel="00E90B36">
        <w:rPr>
          <w:lang w:val="en-US"/>
        </w:rPr>
        <w:t xml:space="preserve"> </w:t>
      </w:r>
      <w:r w:rsidRPr="00C84DBB">
        <w:rPr>
          <w:lang w:val="en-US"/>
        </w:rPr>
        <w:t>.</w:t>
      </w:r>
      <w:proofErr w:type="gramEnd"/>
    </w:p>
    <w:p w14:paraId="57CD9EEB" w14:textId="77777777" w:rsidR="00A36615" w:rsidRDefault="00CA7BFD" w:rsidP="00674973">
      <w:pPr>
        <w:jc w:val="both"/>
        <w:rPr>
          <w:lang w:val="en-US"/>
        </w:rPr>
      </w:pPr>
    </w:p>
    <w:p w14:paraId="065689F2" w14:textId="622877CC" w:rsidR="00B87146" w:rsidRDefault="00B87146" w:rsidP="00674973">
      <w:pPr>
        <w:jc w:val="both"/>
        <w:rPr>
          <w:lang w:val="en-US"/>
        </w:rPr>
      </w:pPr>
      <w:r>
        <w:rPr>
          <w:lang w:val="en-US"/>
        </w:rPr>
        <w:t xml:space="preserve">The MECHANICS consortium </w:t>
      </w:r>
      <w:proofErr w:type="gramStart"/>
      <w:r>
        <w:rPr>
          <w:lang w:val="en-US"/>
        </w:rPr>
        <w:t>is led</w:t>
      </w:r>
      <w:proofErr w:type="gramEnd"/>
      <w:r>
        <w:rPr>
          <w:lang w:val="en-US"/>
        </w:rPr>
        <w:t xml:space="preserve"> by T-Systems</w:t>
      </w:r>
      <w:r w:rsidR="001A3A8D">
        <w:rPr>
          <w:rStyle w:val="Appelnotedebasdep"/>
          <w:lang w:val="en-US"/>
        </w:rPr>
        <w:footnoteReference w:id="2"/>
      </w:r>
      <w:r w:rsidR="001A3A8D">
        <w:rPr>
          <w:lang w:val="en-US"/>
        </w:rPr>
        <w:t xml:space="preserve"> </w:t>
      </w:r>
      <w:r>
        <w:rPr>
          <w:lang w:val="en-US"/>
        </w:rPr>
        <w:t>and includes CERN &amp; OROBIX who are members of the ESCAPE consortium.</w:t>
      </w:r>
    </w:p>
    <w:p w14:paraId="2935D08E" w14:textId="77777777" w:rsidR="00307241" w:rsidRDefault="00307241">
      <w:pPr>
        <w:rPr>
          <w:lang w:val="en-US"/>
        </w:rPr>
      </w:pPr>
    </w:p>
    <w:p w14:paraId="4BE083CA" w14:textId="7F2CB193" w:rsidR="00307241" w:rsidRDefault="00A55913" w:rsidP="00674973">
      <w:pPr>
        <w:jc w:val="both"/>
        <w:rPr>
          <w:lang w:val="en-US"/>
        </w:rPr>
      </w:pPr>
      <w:r>
        <w:rPr>
          <w:lang w:val="en-US"/>
        </w:rPr>
        <w:lastRenderedPageBreak/>
        <w:t>CERN has a long-standing relationship with T-Systems</w:t>
      </w:r>
      <w:r w:rsidR="001A3A8D">
        <w:rPr>
          <w:lang w:val="en-US"/>
        </w:rPr>
        <w:t xml:space="preserve"> </w:t>
      </w:r>
      <w:r w:rsidR="00C46C84">
        <w:rPr>
          <w:lang w:val="en-US"/>
        </w:rPr>
        <w:t>who have</w:t>
      </w:r>
      <w:r>
        <w:rPr>
          <w:lang w:val="en-US"/>
        </w:rPr>
        <w:t xml:space="preserve"> been an a</w:t>
      </w:r>
      <w:r w:rsidR="00C46C84">
        <w:rPr>
          <w:lang w:val="en-US"/>
        </w:rPr>
        <w:t>ctive member</w:t>
      </w:r>
      <w:r>
        <w:rPr>
          <w:lang w:val="en-US"/>
        </w:rPr>
        <w:t xml:space="preserve"> of the Helix Nebula initiative</w:t>
      </w:r>
      <w:r>
        <w:rPr>
          <w:rStyle w:val="Appelnotedebasdep"/>
          <w:lang w:val="en-US"/>
        </w:rPr>
        <w:footnoteReference w:id="3"/>
      </w:r>
      <w:r>
        <w:rPr>
          <w:lang w:val="en-US"/>
        </w:rPr>
        <w:t xml:space="preserve"> </w:t>
      </w:r>
      <w:r w:rsidR="00C46C84">
        <w:rPr>
          <w:lang w:val="en-US"/>
        </w:rPr>
        <w:t xml:space="preserve">since 2011 and </w:t>
      </w:r>
      <w:r>
        <w:rPr>
          <w:lang w:val="en-US"/>
        </w:rPr>
        <w:t>provides one of the network links</w:t>
      </w:r>
      <w:r w:rsidR="00C46C84">
        <w:rPr>
          <w:rStyle w:val="Appelnotedebasdep"/>
          <w:lang w:val="en-US"/>
        </w:rPr>
        <w:footnoteReference w:id="4"/>
      </w:r>
      <w:r>
        <w:rPr>
          <w:lang w:val="en-US"/>
        </w:rPr>
        <w:t xml:space="preserve"> between the Wigner data </w:t>
      </w:r>
      <w:proofErr w:type="spellStart"/>
      <w:r>
        <w:rPr>
          <w:lang w:val="en-US"/>
        </w:rPr>
        <w:t>centre</w:t>
      </w:r>
      <w:proofErr w:type="spellEnd"/>
      <w:r>
        <w:rPr>
          <w:lang w:val="en-US"/>
        </w:rPr>
        <w:t xml:space="preserve"> in Hungary and CERN’s data </w:t>
      </w:r>
      <w:proofErr w:type="spellStart"/>
      <w:r>
        <w:rPr>
          <w:lang w:val="en-US"/>
        </w:rPr>
        <w:t>centre</w:t>
      </w:r>
      <w:proofErr w:type="spellEnd"/>
      <w:r>
        <w:rPr>
          <w:lang w:val="en-US"/>
        </w:rPr>
        <w:t xml:space="preserve"> in Geneva.</w:t>
      </w:r>
    </w:p>
    <w:p w14:paraId="54A949B0" w14:textId="4588B45C" w:rsidR="00307241" w:rsidRDefault="001A3A8D" w:rsidP="00E90B36">
      <w:pPr>
        <w:jc w:val="both"/>
        <w:rPr>
          <w:lang w:val="en-US"/>
        </w:rPr>
      </w:pPr>
      <w:r>
        <w:rPr>
          <w:lang w:val="en-US"/>
        </w:rPr>
        <w:t>T-Systems operates the OpenStack based Open Telekom Cloud (OTC</w:t>
      </w:r>
      <w:r>
        <w:rPr>
          <w:rStyle w:val="Appelnotedebasdep"/>
          <w:lang w:val="en-US"/>
        </w:rPr>
        <w:footnoteReference w:id="5"/>
      </w:r>
      <w:r>
        <w:rPr>
          <w:lang w:val="en-US"/>
        </w:rPr>
        <w:t>) from its 40,000m</w:t>
      </w:r>
      <w:proofErr w:type="gramStart"/>
      <w:r w:rsidRPr="001A3A8D">
        <w:rPr>
          <w:vertAlign w:val="superscript"/>
          <w:lang w:val="en-US"/>
        </w:rPr>
        <w:t>2</w:t>
      </w:r>
      <w:proofErr w:type="gramEnd"/>
      <w:r>
        <w:rPr>
          <w:lang w:val="en-US"/>
        </w:rPr>
        <w:t xml:space="preserve"> data </w:t>
      </w:r>
      <w:proofErr w:type="spellStart"/>
      <w:r>
        <w:rPr>
          <w:lang w:val="en-US"/>
        </w:rPr>
        <w:t>centre</w:t>
      </w:r>
      <w:proofErr w:type="spellEnd"/>
      <w:r>
        <w:rPr>
          <w:lang w:val="en-US"/>
        </w:rPr>
        <w:t xml:space="preserve"> in Germany</w:t>
      </w:r>
      <w:r>
        <w:rPr>
          <w:rStyle w:val="Appelnotedebasdep"/>
          <w:lang w:val="en-US"/>
        </w:rPr>
        <w:footnoteReference w:id="6"/>
      </w:r>
      <w:r>
        <w:rPr>
          <w:lang w:val="en-US"/>
        </w:rPr>
        <w:t xml:space="preserve">. </w:t>
      </w:r>
      <w:r w:rsidR="00B532B1">
        <w:rPr>
          <w:lang w:val="en-US"/>
        </w:rPr>
        <w:t xml:space="preserve">OTC provided the basis for the T-Systems hybrid cloud </w:t>
      </w:r>
      <w:r w:rsidR="00F94C6E">
        <w:rPr>
          <w:lang w:val="en-US"/>
        </w:rPr>
        <w:t>infra</w:t>
      </w:r>
      <w:r w:rsidR="00B532B1">
        <w:rPr>
          <w:lang w:val="en-US"/>
        </w:rPr>
        <w:t xml:space="preserve">structure that </w:t>
      </w:r>
      <w:proofErr w:type="gramStart"/>
      <w:r w:rsidR="00B532B1">
        <w:rPr>
          <w:lang w:val="en-US"/>
        </w:rPr>
        <w:t>was selected</w:t>
      </w:r>
      <w:proofErr w:type="gramEnd"/>
      <w:r w:rsidR="00B532B1">
        <w:rPr>
          <w:lang w:val="en-US"/>
        </w:rPr>
        <w:t xml:space="preserve"> by a </w:t>
      </w:r>
      <w:r w:rsidR="00B96550">
        <w:rPr>
          <w:lang w:val="en-US"/>
        </w:rPr>
        <w:t xml:space="preserve">group of 10 </w:t>
      </w:r>
      <w:r w:rsidR="00B532B1">
        <w:rPr>
          <w:lang w:val="en-US"/>
        </w:rPr>
        <w:t xml:space="preserve">research </w:t>
      </w:r>
      <w:proofErr w:type="spellStart"/>
      <w:r w:rsidR="00B96550">
        <w:rPr>
          <w:lang w:val="en-US"/>
        </w:rPr>
        <w:t>organisations</w:t>
      </w:r>
      <w:proofErr w:type="spellEnd"/>
      <w:r w:rsidR="00B532B1">
        <w:rPr>
          <w:lang w:val="en-US"/>
        </w:rPr>
        <w:t xml:space="preserve"> (CERN, CNRS, DESY, EMBL, ESRF, IFAE, INFN, KIT</w:t>
      </w:r>
      <w:r w:rsidR="00F94C6E">
        <w:rPr>
          <w:lang w:val="en-US"/>
        </w:rPr>
        <w:t xml:space="preserve">, STFC, </w:t>
      </w:r>
      <w:proofErr w:type="spellStart"/>
      <w:r w:rsidR="00F94C6E">
        <w:rPr>
          <w:lang w:val="en-US"/>
        </w:rPr>
        <w:t>SurfSARA</w:t>
      </w:r>
      <w:proofErr w:type="spellEnd"/>
      <w:r w:rsidR="00B532B1">
        <w:rPr>
          <w:lang w:val="en-US"/>
        </w:rPr>
        <w:t>)</w:t>
      </w:r>
      <w:r w:rsidR="00F94C6E">
        <w:rPr>
          <w:lang w:val="en-US"/>
        </w:rPr>
        <w:t xml:space="preserve"> as part of the </w:t>
      </w:r>
      <w:proofErr w:type="spellStart"/>
      <w:r w:rsidR="00F94C6E">
        <w:rPr>
          <w:lang w:val="en-US"/>
        </w:rPr>
        <w:t>HNSciCloud</w:t>
      </w:r>
      <w:proofErr w:type="spellEnd"/>
      <w:r w:rsidR="00F94C6E">
        <w:rPr>
          <w:lang w:val="en-US"/>
        </w:rPr>
        <w:t xml:space="preserve"> pre-commercial procurement</w:t>
      </w:r>
      <w:r w:rsidR="00F94C6E">
        <w:rPr>
          <w:rStyle w:val="Appelnotedebasdep"/>
          <w:lang w:val="en-US"/>
        </w:rPr>
        <w:footnoteReference w:id="7"/>
      </w:r>
      <w:r w:rsidR="00B96550">
        <w:rPr>
          <w:lang w:val="en-US"/>
        </w:rPr>
        <w:t xml:space="preserve">. </w:t>
      </w:r>
      <w:r w:rsidR="00307241">
        <w:rPr>
          <w:lang w:val="en-US"/>
        </w:rPr>
        <w:t xml:space="preserve"> Several a</w:t>
      </w:r>
      <w:r w:rsidR="00B96550">
        <w:rPr>
          <w:lang w:val="en-US"/>
        </w:rPr>
        <w:t xml:space="preserve">pplications from a range of </w:t>
      </w:r>
      <w:r w:rsidR="0066589F">
        <w:rPr>
          <w:lang w:val="en-US"/>
        </w:rPr>
        <w:t>RIs</w:t>
      </w:r>
      <w:r w:rsidR="00B96550">
        <w:rPr>
          <w:lang w:val="en-US"/>
        </w:rPr>
        <w:t xml:space="preserve"> </w:t>
      </w:r>
      <w:r w:rsidR="0044716E">
        <w:rPr>
          <w:lang w:val="en-US"/>
        </w:rPr>
        <w:t>(including CTA</w:t>
      </w:r>
      <w:r w:rsidR="00307241">
        <w:rPr>
          <w:rStyle w:val="Appelnotedebasdep"/>
          <w:lang w:val="en-US"/>
        </w:rPr>
        <w:footnoteReference w:id="8"/>
      </w:r>
      <w:r w:rsidR="0066589F">
        <w:rPr>
          <w:lang w:val="en-US"/>
        </w:rPr>
        <w:t>,</w:t>
      </w:r>
      <w:r w:rsidR="0044716E">
        <w:rPr>
          <w:lang w:val="en-US"/>
        </w:rPr>
        <w:t xml:space="preserve"> LHC</w:t>
      </w:r>
      <w:r w:rsidR="00307241">
        <w:rPr>
          <w:rStyle w:val="Appelnotedebasdep"/>
          <w:lang w:val="en-US"/>
        </w:rPr>
        <w:footnoteReference w:id="9"/>
      </w:r>
      <w:r w:rsidR="0066589F">
        <w:rPr>
          <w:lang w:val="en-US"/>
        </w:rPr>
        <w:t xml:space="preserve"> and</w:t>
      </w:r>
      <w:r w:rsidR="0044716E">
        <w:rPr>
          <w:lang w:val="en-US"/>
        </w:rPr>
        <w:t xml:space="preserve"> LOFAR</w:t>
      </w:r>
      <w:r w:rsidR="00307241">
        <w:rPr>
          <w:rStyle w:val="Appelnotedebasdep"/>
          <w:lang w:val="en-US"/>
        </w:rPr>
        <w:footnoteReference w:id="10"/>
      </w:r>
      <w:r w:rsidR="0044716E">
        <w:rPr>
          <w:lang w:val="en-US"/>
        </w:rPr>
        <w:t>) and disciplines</w:t>
      </w:r>
      <w:r w:rsidR="00B96550">
        <w:rPr>
          <w:lang w:val="en-US"/>
        </w:rPr>
        <w:t xml:space="preserve"> </w:t>
      </w:r>
      <w:proofErr w:type="gramStart"/>
      <w:r w:rsidR="003F68BC">
        <w:rPr>
          <w:lang w:val="en-US"/>
        </w:rPr>
        <w:t>were successfully deployed</w:t>
      </w:r>
      <w:proofErr w:type="gramEnd"/>
      <w:r w:rsidR="003F68BC">
        <w:rPr>
          <w:lang w:val="en-US"/>
        </w:rPr>
        <w:t xml:space="preserve"> on</w:t>
      </w:r>
      <w:r w:rsidR="00B96550">
        <w:rPr>
          <w:lang w:val="en-US"/>
        </w:rPr>
        <w:t xml:space="preserve"> OTC </w:t>
      </w:r>
      <w:r w:rsidR="003F68BC">
        <w:rPr>
          <w:lang w:val="en-US"/>
        </w:rPr>
        <w:t xml:space="preserve">supported by these research </w:t>
      </w:r>
      <w:proofErr w:type="spellStart"/>
      <w:r w:rsidR="003F68BC">
        <w:rPr>
          <w:lang w:val="en-US"/>
        </w:rPr>
        <w:t>organisations</w:t>
      </w:r>
      <w:proofErr w:type="spellEnd"/>
      <w:r w:rsidR="003F68BC">
        <w:rPr>
          <w:lang w:val="en-US"/>
        </w:rPr>
        <w:t xml:space="preserve"> </w:t>
      </w:r>
      <w:r w:rsidR="00B96550">
        <w:rPr>
          <w:lang w:val="en-US"/>
        </w:rPr>
        <w:t>in 2018</w:t>
      </w:r>
      <w:r w:rsidR="00B96550">
        <w:rPr>
          <w:rStyle w:val="Appelnotedebasdep"/>
          <w:lang w:val="en-US"/>
        </w:rPr>
        <w:footnoteReference w:id="11"/>
      </w:r>
      <w:r w:rsidR="00B96550">
        <w:rPr>
          <w:lang w:val="en-US"/>
        </w:rPr>
        <w:t xml:space="preserve">. </w:t>
      </w:r>
    </w:p>
    <w:p w14:paraId="2B85509C" w14:textId="3AEA1319" w:rsidR="003F68BC" w:rsidRDefault="003F68BC" w:rsidP="00674973">
      <w:pPr>
        <w:jc w:val="both"/>
        <w:rPr>
          <w:lang w:val="en-US"/>
        </w:rPr>
      </w:pPr>
      <w:r>
        <w:rPr>
          <w:lang w:val="en-US"/>
        </w:rPr>
        <w:t>T-Systems also operates one of the DIAS (</w:t>
      </w:r>
      <w:r w:rsidRPr="003F68BC">
        <w:t xml:space="preserve">Data </w:t>
      </w:r>
      <w:r>
        <w:t>and Information Access Services) platforms providing access to Copernicus Sentinel data</w:t>
      </w:r>
      <w:r>
        <w:rPr>
          <w:rStyle w:val="Appelnotedebasdep"/>
        </w:rPr>
        <w:footnoteReference w:id="12"/>
      </w:r>
      <w:r w:rsidRPr="003F68BC">
        <w:t>.</w:t>
      </w:r>
    </w:p>
    <w:p w14:paraId="34723322" w14:textId="40EB6AA4" w:rsidR="003F68BC" w:rsidRDefault="00534680" w:rsidP="003F68BC">
      <w:pPr>
        <w:pStyle w:val="Titre1"/>
        <w:rPr>
          <w:lang w:val="en-US"/>
        </w:rPr>
      </w:pPr>
      <w:r>
        <w:rPr>
          <w:lang w:val="en-US"/>
        </w:rPr>
        <w:t>Use Case Proposal - C</w:t>
      </w:r>
      <w:r w:rsidR="003F68BC">
        <w:rPr>
          <w:lang w:val="en-US"/>
        </w:rPr>
        <w:t>ollaboration between ESCAPE and MECHANICS</w:t>
      </w:r>
    </w:p>
    <w:p w14:paraId="1C207D9D" w14:textId="77777777" w:rsidR="003F68BC" w:rsidRDefault="003F68BC">
      <w:pPr>
        <w:rPr>
          <w:lang w:val="en-US"/>
        </w:rPr>
      </w:pPr>
    </w:p>
    <w:p w14:paraId="257FB6D8" w14:textId="6323C038" w:rsidR="003F68BC" w:rsidRDefault="003F68BC" w:rsidP="00674973">
      <w:pPr>
        <w:jc w:val="both"/>
        <w:rPr>
          <w:lang w:val="en-US"/>
        </w:rPr>
      </w:pPr>
      <w:r>
        <w:rPr>
          <w:lang w:val="en-US"/>
        </w:rPr>
        <w:t xml:space="preserve">The objective of the proposed collaboration between ESCAPE and MECHANICS is to extend the ESCAPE </w:t>
      </w:r>
      <w:r w:rsidR="00307241">
        <w:rPr>
          <w:lang w:val="en-US"/>
        </w:rPr>
        <w:t>D</w:t>
      </w:r>
      <w:r>
        <w:rPr>
          <w:lang w:val="en-US"/>
        </w:rPr>
        <w:t>ata</w:t>
      </w:r>
      <w:r w:rsidR="00307241">
        <w:rPr>
          <w:lang w:val="en-US"/>
        </w:rPr>
        <w:t xml:space="preserve"> L</w:t>
      </w:r>
      <w:r>
        <w:rPr>
          <w:lang w:val="en-US"/>
        </w:rPr>
        <w:t xml:space="preserve">ake prototype in order to </w:t>
      </w:r>
      <w:r w:rsidRPr="00D029E7">
        <w:rPr>
          <w:lang w:val="en-US"/>
        </w:rPr>
        <w:t>test RIs data accessibility from commercial cloud services</w:t>
      </w:r>
      <w:r w:rsidR="00D02F35">
        <w:rPr>
          <w:lang w:val="en-US"/>
        </w:rPr>
        <w:t xml:space="preserve"> as part of the </w:t>
      </w:r>
      <w:proofErr w:type="spellStart"/>
      <w:r w:rsidR="00D02F35">
        <w:rPr>
          <w:lang w:val="en-US"/>
        </w:rPr>
        <w:t>the</w:t>
      </w:r>
      <w:proofErr w:type="spellEnd"/>
      <w:r w:rsidR="00D02F35">
        <w:rPr>
          <w:lang w:val="en-US"/>
        </w:rPr>
        <w:t xml:space="preserve"> MECHANICS HTC </w:t>
      </w:r>
      <w:proofErr w:type="spellStart"/>
      <w:r w:rsidR="00D02F35">
        <w:rPr>
          <w:lang w:val="en-US"/>
        </w:rPr>
        <w:t>PoC</w:t>
      </w:r>
      <w:proofErr w:type="spellEnd"/>
      <w:r>
        <w:rPr>
          <w:lang w:val="en-US"/>
        </w:rPr>
        <w:t>.</w:t>
      </w:r>
    </w:p>
    <w:p w14:paraId="33775D85" w14:textId="6D92219F" w:rsidR="0044716E" w:rsidRDefault="003F68BC" w:rsidP="00674973">
      <w:pPr>
        <w:jc w:val="both"/>
        <w:rPr>
          <w:lang w:val="en-US"/>
        </w:rPr>
      </w:pPr>
      <w:r>
        <w:rPr>
          <w:lang w:val="en-US"/>
        </w:rPr>
        <w:t>The intention is to include T-Systems data</w:t>
      </w:r>
      <w:r w:rsidR="00307241">
        <w:rPr>
          <w:lang w:val="en-US"/>
        </w:rPr>
        <w:t xml:space="preserve"> </w:t>
      </w:r>
      <w:proofErr w:type="spellStart"/>
      <w:r w:rsidR="00307241">
        <w:rPr>
          <w:lang w:val="en-US"/>
        </w:rPr>
        <w:t>c</w:t>
      </w:r>
      <w:r>
        <w:rPr>
          <w:lang w:val="en-US"/>
        </w:rPr>
        <w:t>entre</w:t>
      </w:r>
      <w:proofErr w:type="spellEnd"/>
      <w:r>
        <w:rPr>
          <w:lang w:val="en-US"/>
        </w:rPr>
        <w:t xml:space="preserve"> in Germany as a site in the ESCAPE data</w:t>
      </w:r>
      <w:r w:rsidR="00307241">
        <w:rPr>
          <w:lang w:val="en-US"/>
        </w:rPr>
        <w:t xml:space="preserve"> </w:t>
      </w:r>
      <w:r>
        <w:rPr>
          <w:lang w:val="en-US"/>
        </w:rPr>
        <w:t xml:space="preserve">lake during 2021 in order to demonstrate </w:t>
      </w:r>
      <w:r w:rsidR="0044716E" w:rsidRPr="003A1B6F">
        <w:rPr>
          <w:lang w:val="en-US"/>
        </w:rPr>
        <w:t xml:space="preserve">RI data is accessible from </w:t>
      </w:r>
      <w:r w:rsidR="0044716E" w:rsidRPr="0044716E">
        <w:rPr>
          <w:lang w:val="en-US"/>
        </w:rPr>
        <w:t>commercial cloud resources</w:t>
      </w:r>
      <w:r w:rsidR="0044716E">
        <w:rPr>
          <w:lang w:val="en-US"/>
        </w:rPr>
        <w:t xml:space="preserve"> and thereby successfully achieve Milestone </w:t>
      </w:r>
      <w:r w:rsidR="0044716E" w:rsidRPr="003A1B6F">
        <w:rPr>
          <w:lang w:val="en-US"/>
        </w:rPr>
        <w:t>2.4</w:t>
      </w:r>
      <w:r w:rsidR="0044716E">
        <w:rPr>
          <w:lang w:val="en-US"/>
        </w:rPr>
        <w:t xml:space="preserve"> by the end of 2021.</w:t>
      </w:r>
    </w:p>
    <w:p w14:paraId="1EC0B159" w14:textId="77777777" w:rsidR="00534680" w:rsidRPr="00307241" w:rsidRDefault="00534680" w:rsidP="0044716E">
      <w:pPr>
        <w:rPr>
          <w:lang w:val="en-US"/>
        </w:rPr>
      </w:pPr>
    </w:p>
    <w:p w14:paraId="404B8ED9" w14:textId="1A20C594" w:rsidR="0044716E" w:rsidRDefault="0044716E" w:rsidP="00674973">
      <w:pPr>
        <w:jc w:val="both"/>
        <w:rPr>
          <w:lang w:val="en-US"/>
        </w:rPr>
      </w:pPr>
      <w:r>
        <w:rPr>
          <w:lang w:val="en-US"/>
        </w:rPr>
        <w:t>A range of</w:t>
      </w:r>
      <w:r w:rsidR="00307241">
        <w:rPr>
          <w:lang w:val="en-US"/>
        </w:rPr>
        <w:t xml:space="preserve"> research</w:t>
      </w:r>
      <w:r>
        <w:rPr>
          <w:lang w:val="en-US"/>
        </w:rPr>
        <w:t xml:space="preserve"> applications </w:t>
      </w:r>
      <w:proofErr w:type="gramStart"/>
      <w:r>
        <w:rPr>
          <w:lang w:val="en-US"/>
        </w:rPr>
        <w:t>will be deployed</w:t>
      </w:r>
      <w:proofErr w:type="gramEnd"/>
      <w:r>
        <w:rPr>
          <w:lang w:val="en-US"/>
        </w:rPr>
        <w:t xml:space="preserve"> on T-Systems OTC cloud services and access datasets from the data</w:t>
      </w:r>
      <w:r w:rsidR="00307241">
        <w:rPr>
          <w:lang w:val="en-US"/>
        </w:rPr>
        <w:t xml:space="preserve"> </w:t>
      </w:r>
      <w:r>
        <w:rPr>
          <w:lang w:val="en-US"/>
        </w:rPr>
        <w:t xml:space="preserve">lake via a </w:t>
      </w:r>
      <w:r w:rsidR="00307241">
        <w:rPr>
          <w:lang w:val="en-US"/>
        </w:rPr>
        <w:t>high-speed</w:t>
      </w:r>
      <w:r>
        <w:rPr>
          <w:lang w:val="en-US"/>
        </w:rPr>
        <w:t xml:space="preserve"> network link deployed by T-Systems to CERN. The network connection and application deployment </w:t>
      </w:r>
      <w:proofErr w:type="gramStart"/>
      <w:r>
        <w:rPr>
          <w:lang w:val="en-US"/>
        </w:rPr>
        <w:t>will be tested</w:t>
      </w:r>
      <w:proofErr w:type="gramEnd"/>
      <w:r>
        <w:rPr>
          <w:lang w:val="en-US"/>
        </w:rPr>
        <w:t xml:space="preserve"> by CERN using LHC-one and LHC experiment workloads then made available to other ESCAPE partners.</w:t>
      </w:r>
    </w:p>
    <w:p w14:paraId="332A4A50" w14:textId="449E13A5" w:rsidR="003F68BC" w:rsidRDefault="00307241" w:rsidP="00674973">
      <w:pPr>
        <w:jc w:val="both"/>
        <w:rPr>
          <w:lang w:val="en-US"/>
        </w:rPr>
      </w:pPr>
      <w:r>
        <w:rPr>
          <w:lang w:val="en-US"/>
        </w:rPr>
        <w:t xml:space="preserve">In this context, </w:t>
      </w:r>
      <w:r w:rsidR="00580888">
        <w:rPr>
          <w:lang w:val="en-US"/>
        </w:rPr>
        <w:t>a</w:t>
      </w:r>
      <w:r w:rsidR="00534680" w:rsidRPr="0011659D">
        <w:rPr>
          <w:lang/>
        </w:rPr>
        <w:t xml:space="preserve"> caching layer deployed at CERN based on XCache</w:t>
      </w:r>
      <w:r>
        <w:rPr>
          <w:rStyle w:val="Appelnotedebasdep"/>
          <w:lang/>
        </w:rPr>
        <w:footnoteReference w:id="13"/>
      </w:r>
      <w:r w:rsidR="00534680" w:rsidRPr="0011659D">
        <w:rPr>
          <w:lang/>
        </w:rPr>
        <w:t xml:space="preserve"> technology will be the interface to the ESCAPE Data Lake scientific data. Such caching and content delivery service will be in charge of data caching, latency hiding and file streaming to the compute resources located at </w:t>
      </w:r>
      <w:r w:rsidR="00580888">
        <w:rPr>
          <w:lang w:val="en-US"/>
        </w:rPr>
        <w:t xml:space="preserve">OTC provided by </w:t>
      </w:r>
      <w:r w:rsidR="00534680" w:rsidRPr="0011659D">
        <w:rPr>
          <w:lang/>
        </w:rPr>
        <w:t>T-Systems.</w:t>
      </w:r>
    </w:p>
    <w:p w14:paraId="3DF1C60A" w14:textId="4C8ABF0B" w:rsidR="007D710A" w:rsidRDefault="00285E31" w:rsidP="00674973">
      <w:pPr>
        <w:jc w:val="both"/>
        <w:rPr>
          <w:lang w:val="en-US"/>
        </w:rPr>
      </w:pPr>
      <w:r>
        <w:rPr>
          <w:lang w:val="en-US"/>
        </w:rPr>
        <w:t xml:space="preserve">Access to the OTC cloud services </w:t>
      </w:r>
      <w:proofErr w:type="gramStart"/>
      <w:r>
        <w:rPr>
          <w:lang w:val="en-US"/>
        </w:rPr>
        <w:t>will be made</w:t>
      </w:r>
      <w:proofErr w:type="gramEnd"/>
      <w:r>
        <w:rPr>
          <w:lang w:val="en-US"/>
        </w:rPr>
        <w:t xml:space="preserve"> available to ESCAPE partner end-users via a </w:t>
      </w:r>
      <w:r w:rsidR="00307241">
        <w:rPr>
          <w:lang w:val="en-US"/>
        </w:rPr>
        <w:t>voucher-based</w:t>
      </w:r>
      <w:r>
        <w:rPr>
          <w:lang w:val="en-US"/>
        </w:rPr>
        <w:t xml:space="preserve"> model </w:t>
      </w:r>
      <w:r w:rsidR="007D710A">
        <w:rPr>
          <w:lang w:val="en-US"/>
        </w:rPr>
        <w:t>supported</w:t>
      </w:r>
      <w:r>
        <w:rPr>
          <w:lang w:val="en-US"/>
        </w:rPr>
        <w:t xml:space="preserve"> by T-Systems and successfully tested during the </w:t>
      </w:r>
      <w:proofErr w:type="spellStart"/>
      <w:r>
        <w:rPr>
          <w:lang w:val="en-US"/>
        </w:rPr>
        <w:t>HNSciCl</w:t>
      </w:r>
      <w:r w:rsidR="007D710A">
        <w:rPr>
          <w:lang w:val="en-US"/>
        </w:rPr>
        <w:t>oud</w:t>
      </w:r>
      <w:proofErr w:type="spellEnd"/>
      <w:r w:rsidR="007D710A">
        <w:rPr>
          <w:lang w:val="en-US"/>
        </w:rPr>
        <w:t xml:space="preserve"> project</w:t>
      </w:r>
      <w:r>
        <w:rPr>
          <w:rStyle w:val="Appelnotedebasdep"/>
          <w:lang w:val="en-US"/>
        </w:rPr>
        <w:footnoteReference w:id="14"/>
      </w:r>
      <w:r>
        <w:rPr>
          <w:lang w:val="en-US"/>
        </w:rPr>
        <w:t>.</w:t>
      </w:r>
    </w:p>
    <w:p w14:paraId="5B165830" w14:textId="77777777" w:rsidR="00307241" w:rsidRDefault="007D710A" w:rsidP="00307241">
      <w:pPr>
        <w:jc w:val="both"/>
        <w:rPr>
          <w:lang w:val="en-US"/>
        </w:rPr>
      </w:pPr>
      <w:r>
        <w:rPr>
          <w:lang w:val="en-US"/>
        </w:rPr>
        <w:t xml:space="preserve">The provisioning of the network connection and use of the OTC cloud services </w:t>
      </w:r>
      <w:proofErr w:type="gramStart"/>
      <w:r>
        <w:rPr>
          <w:lang w:val="en-US"/>
        </w:rPr>
        <w:t>will be funded</w:t>
      </w:r>
      <w:proofErr w:type="gramEnd"/>
      <w:r>
        <w:rPr>
          <w:lang w:val="en-US"/>
        </w:rPr>
        <w:t xml:space="preserve"> by the MECHANICS project. </w:t>
      </w:r>
    </w:p>
    <w:p w14:paraId="7F473C14" w14:textId="01CFEC48" w:rsidR="007D710A" w:rsidRDefault="007D710A" w:rsidP="00674973">
      <w:pPr>
        <w:jc w:val="both"/>
        <w:rPr>
          <w:lang w:val="en-US"/>
        </w:rPr>
      </w:pPr>
      <w:r>
        <w:rPr>
          <w:lang w:val="en-US"/>
        </w:rPr>
        <w:t>The ESCAPE procurement budget will not be ne</w:t>
      </w:r>
      <w:r w:rsidR="00307241">
        <w:rPr>
          <w:lang w:val="en-US"/>
        </w:rPr>
        <w:t xml:space="preserve">cessary </w:t>
      </w:r>
      <w:r>
        <w:rPr>
          <w:lang w:val="en-US"/>
        </w:rPr>
        <w:t>for this activity.</w:t>
      </w:r>
    </w:p>
    <w:sectPr w:rsidR="007D7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B0DFE" w14:textId="77777777" w:rsidR="00CA7BFD" w:rsidRDefault="00CA7BFD" w:rsidP="00D4399B">
      <w:r>
        <w:separator/>
      </w:r>
    </w:p>
  </w:endnote>
  <w:endnote w:type="continuationSeparator" w:id="0">
    <w:p w14:paraId="7D018FB4" w14:textId="77777777" w:rsidR="00CA7BFD" w:rsidRDefault="00CA7BFD" w:rsidP="00D4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AB80" w14:textId="77777777" w:rsidR="00CA7BFD" w:rsidRDefault="00CA7BFD" w:rsidP="00D4399B">
      <w:r>
        <w:separator/>
      </w:r>
    </w:p>
  </w:footnote>
  <w:footnote w:type="continuationSeparator" w:id="0">
    <w:p w14:paraId="3250EA6B" w14:textId="77777777" w:rsidR="00CA7BFD" w:rsidRDefault="00CA7BFD" w:rsidP="00D4399B">
      <w:r>
        <w:continuationSeparator/>
      </w:r>
    </w:p>
  </w:footnote>
  <w:footnote w:id="1">
    <w:p w14:paraId="5DE1D5CA" w14:textId="77777777" w:rsidR="00B87146" w:rsidRPr="00D4399B" w:rsidRDefault="00B87146" w:rsidP="00B87146">
      <w:pPr>
        <w:pStyle w:val="Notedebasdepage"/>
      </w:pPr>
      <w:r>
        <w:rPr>
          <w:rStyle w:val="Appelnotedebasdep"/>
        </w:rPr>
        <w:footnoteRef/>
      </w:r>
      <w:r>
        <w:t xml:space="preserve"> </w:t>
      </w:r>
      <w:r w:rsidRPr="00D4399B">
        <w:t>Cloud Computing: towards a smart cloud computing continuum</w:t>
      </w:r>
      <w:r>
        <w:t xml:space="preserve">, </w:t>
      </w:r>
      <w:hyperlink r:id="rId1" w:history="1">
        <w:r>
          <w:rPr>
            <w:rStyle w:val="Lienhypertexte"/>
          </w:rPr>
          <w:t>https://ec.europa.eu/info/funding-tenders/opportunities/portal/screen/opportunities/topic-details/ict-40-2020</w:t>
        </w:r>
      </w:hyperlink>
    </w:p>
  </w:footnote>
  <w:footnote w:id="2">
    <w:p w14:paraId="3BD39D25" w14:textId="77777777" w:rsidR="001A3A8D" w:rsidRPr="00A55913" w:rsidRDefault="001A3A8D" w:rsidP="001A3A8D">
      <w:pPr>
        <w:pStyle w:val="Notedebasdepage"/>
        <w:rPr>
          <w:lang w:val="en-US"/>
        </w:rPr>
      </w:pPr>
      <w:r>
        <w:rPr>
          <w:rStyle w:val="Appelnotedebasdep"/>
        </w:rPr>
        <w:footnoteRef/>
      </w:r>
      <w:r>
        <w:t xml:space="preserve"> </w:t>
      </w:r>
      <w:hyperlink r:id="rId2" w:history="1">
        <w:r>
          <w:rPr>
            <w:rStyle w:val="Lienhypertexte"/>
          </w:rPr>
          <w:t>https://www.t-systems.com/de/en/</w:t>
        </w:r>
      </w:hyperlink>
    </w:p>
  </w:footnote>
  <w:footnote w:id="3">
    <w:p w14:paraId="40406A76" w14:textId="77777777" w:rsidR="00A55913" w:rsidRPr="00A55913" w:rsidRDefault="00A55913">
      <w:pPr>
        <w:pStyle w:val="Notedebasdepage"/>
        <w:rPr>
          <w:lang w:val="en-US"/>
        </w:rPr>
      </w:pPr>
      <w:r>
        <w:rPr>
          <w:rStyle w:val="Appelnotedebasdep"/>
        </w:rPr>
        <w:footnoteRef/>
      </w:r>
      <w:r>
        <w:t xml:space="preserve"> </w:t>
      </w:r>
      <w:hyperlink r:id="rId3" w:history="1">
        <w:r>
          <w:rPr>
            <w:rStyle w:val="Lienhypertexte"/>
          </w:rPr>
          <w:t>https://www.helix-nebula.eu/</w:t>
        </w:r>
      </w:hyperlink>
    </w:p>
  </w:footnote>
  <w:footnote w:id="4">
    <w:p w14:paraId="0240F86E" w14:textId="77777777" w:rsidR="00C46C84" w:rsidRPr="00C46C84" w:rsidRDefault="00C46C84">
      <w:pPr>
        <w:pStyle w:val="Notedebasdepage"/>
        <w:rPr>
          <w:lang w:val="en-US"/>
        </w:rPr>
      </w:pPr>
      <w:r>
        <w:rPr>
          <w:rStyle w:val="Appelnotedebasdep"/>
        </w:rPr>
        <w:footnoteRef/>
      </w:r>
      <w:r>
        <w:t xml:space="preserve"> </w:t>
      </w:r>
      <w:hyperlink r:id="rId4" w:history="1">
        <w:r>
          <w:rPr>
            <w:rStyle w:val="Lienhypertexte"/>
          </w:rPr>
          <w:t>https://www.datacenterdynamics.com/en/news/deutsche-telekom-gives-cern-a-100gbe-link-to-budapest-data-center/</w:t>
        </w:r>
      </w:hyperlink>
    </w:p>
  </w:footnote>
  <w:footnote w:id="5">
    <w:p w14:paraId="118732FC" w14:textId="77777777" w:rsidR="001A3A8D" w:rsidRPr="001A3A8D" w:rsidRDefault="001A3A8D">
      <w:pPr>
        <w:pStyle w:val="Notedebasdepage"/>
        <w:rPr>
          <w:lang w:val="en-US"/>
        </w:rPr>
      </w:pPr>
      <w:r>
        <w:rPr>
          <w:rStyle w:val="Appelnotedebasdep"/>
        </w:rPr>
        <w:footnoteRef/>
      </w:r>
      <w:r>
        <w:t xml:space="preserve"> </w:t>
      </w:r>
      <w:hyperlink r:id="rId5" w:history="1">
        <w:r>
          <w:rPr>
            <w:rStyle w:val="Lienhypertexte"/>
          </w:rPr>
          <w:t>https://www.t-systems.com/de/en/cloud-and-infrastructure/manage-it-efficiently/open-telekom-cloud</w:t>
        </w:r>
      </w:hyperlink>
    </w:p>
  </w:footnote>
  <w:footnote w:id="6">
    <w:p w14:paraId="0ABBA8AC" w14:textId="77777777" w:rsidR="001A3A8D" w:rsidRPr="001A3A8D" w:rsidRDefault="001A3A8D">
      <w:pPr>
        <w:pStyle w:val="Notedebasdepage"/>
        <w:rPr>
          <w:lang w:val="en-US"/>
        </w:rPr>
      </w:pPr>
      <w:r>
        <w:rPr>
          <w:rStyle w:val="Appelnotedebasdep"/>
        </w:rPr>
        <w:footnoteRef/>
      </w:r>
      <w:r>
        <w:t xml:space="preserve"> </w:t>
      </w:r>
      <w:hyperlink r:id="rId6" w:history="1">
        <w:r>
          <w:rPr>
            <w:rStyle w:val="Lienhypertexte"/>
          </w:rPr>
          <w:t>https://www.t-systems.com/de/en/about-t-systems/company/innovation-management/data-center-biere</w:t>
        </w:r>
      </w:hyperlink>
    </w:p>
  </w:footnote>
  <w:footnote w:id="7">
    <w:p w14:paraId="5C427EA9" w14:textId="77777777" w:rsidR="00F94C6E" w:rsidRPr="00F94C6E" w:rsidRDefault="00F94C6E">
      <w:pPr>
        <w:pStyle w:val="Notedebasdepage"/>
        <w:rPr>
          <w:lang w:val="en-US"/>
        </w:rPr>
      </w:pPr>
      <w:r>
        <w:rPr>
          <w:rStyle w:val="Appelnotedebasdep"/>
        </w:rPr>
        <w:footnoteRef/>
      </w:r>
      <w:r>
        <w:t xml:space="preserve"> </w:t>
      </w:r>
      <w:hyperlink r:id="rId7" w:history="1">
        <w:r>
          <w:rPr>
            <w:rStyle w:val="Lienhypertexte"/>
          </w:rPr>
          <w:t>https://www.hnscicloud.eu/</w:t>
        </w:r>
      </w:hyperlink>
    </w:p>
  </w:footnote>
  <w:footnote w:id="8">
    <w:p w14:paraId="14C78E8E" w14:textId="5B0CCE35" w:rsidR="00307241" w:rsidRPr="00674973" w:rsidRDefault="00307241" w:rsidP="00674973">
      <w:pPr>
        <w:rPr>
          <w:rFonts w:ascii="Times New Roman" w:eastAsia="Times New Roman" w:hAnsi="Times New Roman"/>
        </w:rPr>
      </w:pPr>
      <w:r w:rsidRPr="00307241">
        <w:rPr>
          <w:rStyle w:val="Appelnotedebasdep"/>
          <w:sz w:val="20"/>
          <w:szCs w:val="20"/>
        </w:rPr>
        <w:footnoteRef/>
      </w:r>
      <w:r w:rsidRPr="00307241">
        <w:rPr>
          <w:sz w:val="20"/>
          <w:szCs w:val="20"/>
        </w:rPr>
        <w:t xml:space="preserve"> </w:t>
      </w:r>
      <w:hyperlink r:id="rId8" w:history="1">
        <w:r w:rsidRPr="00307241">
          <w:rPr>
            <w:rStyle w:val="Lienhypertexte"/>
            <w:sz w:val="20"/>
            <w:szCs w:val="20"/>
          </w:rPr>
          <w:t>https://www.cta-observatory.org/</w:t>
        </w:r>
      </w:hyperlink>
    </w:p>
  </w:footnote>
  <w:footnote w:id="9">
    <w:p w14:paraId="5B1BED6D" w14:textId="401F5EAC" w:rsidR="00307241" w:rsidRPr="00674973" w:rsidRDefault="00307241" w:rsidP="00674973">
      <w:pPr>
        <w:rPr>
          <w:rFonts w:ascii="Times New Roman" w:eastAsia="Times New Roman" w:hAnsi="Times New Roman"/>
        </w:rPr>
      </w:pPr>
      <w:r>
        <w:rPr>
          <w:rStyle w:val="Appelnotedebasdep"/>
        </w:rPr>
        <w:footnoteRef/>
      </w:r>
      <w:r>
        <w:t xml:space="preserve"> </w:t>
      </w:r>
      <w:hyperlink r:id="rId9" w:history="1">
        <w:r w:rsidRPr="00307241">
          <w:rPr>
            <w:rStyle w:val="Lienhypertexte"/>
            <w:sz w:val="20"/>
            <w:szCs w:val="20"/>
          </w:rPr>
          <w:t>https://home.cern/science/accelerators/large-hadron-collider</w:t>
        </w:r>
      </w:hyperlink>
    </w:p>
  </w:footnote>
  <w:footnote w:id="10">
    <w:p w14:paraId="1A4D5AA1" w14:textId="45B15BE6" w:rsidR="00307241" w:rsidRPr="00674973" w:rsidRDefault="00307241" w:rsidP="00674973">
      <w:pPr>
        <w:rPr>
          <w:rFonts w:ascii="Times New Roman" w:eastAsia="Times New Roman" w:hAnsi="Times New Roman"/>
        </w:rPr>
      </w:pPr>
      <w:r w:rsidRPr="00307241">
        <w:rPr>
          <w:rStyle w:val="Appelnotedebasdep"/>
          <w:sz w:val="20"/>
          <w:szCs w:val="20"/>
        </w:rPr>
        <w:footnoteRef/>
      </w:r>
      <w:r w:rsidRPr="00307241">
        <w:rPr>
          <w:sz w:val="20"/>
          <w:szCs w:val="20"/>
        </w:rPr>
        <w:t xml:space="preserve"> </w:t>
      </w:r>
      <w:hyperlink r:id="rId10" w:history="1">
        <w:r w:rsidRPr="00307241">
          <w:rPr>
            <w:rStyle w:val="Lienhypertexte"/>
            <w:sz w:val="20"/>
            <w:szCs w:val="20"/>
          </w:rPr>
          <w:t>http://www.lofar.org/</w:t>
        </w:r>
      </w:hyperlink>
    </w:p>
  </w:footnote>
  <w:footnote w:id="11">
    <w:p w14:paraId="7E0211BA" w14:textId="77777777" w:rsidR="00B96550" w:rsidRPr="00B96550" w:rsidRDefault="00B96550">
      <w:pPr>
        <w:pStyle w:val="Notedebasdepage"/>
        <w:rPr>
          <w:lang w:val="en-US"/>
        </w:rPr>
      </w:pPr>
      <w:r>
        <w:rPr>
          <w:rStyle w:val="Appelnotedebasdep"/>
        </w:rPr>
        <w:footnoteRef/>
      </w:r>
      <w:r>
        <w:t xml:space="preserve"> </w:t>
      </w:r>
      <w:hyperlink r:id="rId11" w:history="1">
        <w:r>
          <w:rPr>
            <w:rStyle w:val="Lienhypertexte"/>
          </w:rPr>
          <w:t>https://www.hnscicloud.eu/sites/default/files/files/HNSC_BookletA5_November2018_21081123_web.pdf</w:t>
        </w:r>
      </w:hyperlink>
    </w:p>
  </w:footnote>
  <w:footnote w:id="12">
    <w:p w14:paraId="306F01D6" w14:textId="77777777" w:rsidR="003F68BC" w:rsidRPr="003F68BC" w:rsidRDefault="003F68BC">
      <w:pPr>
        <w:pStyle w:val="Notedebasdepage"/>
        <w:rPr>
          <w:lang w:val="en-US"/>
        </w:rPr>
      </w:pPr>
      <w:r>
        <w:rPr>
          <w:rStyle w:val="Appelnotedebasdep"/>
        </w:rPr>
        <w:footnoteRef/>
      </w:r>
      <w:r>
        <w:t xml:space="preserve"> </w:t>
      </w:r>
      <w:hyperlink r:id="rId12" w:history="1">
        <w:r>
          <w:rPr>
            <w:rStyle w:val="Lienhypertexte"/>
          </w:rPr>
          <w:t>https://mundiwebservices.com/</w:t>
        </w:r>
      </w:hyperlink>
    </w:p>
  </w:footnote>
  <w:footnote w:id="13">
    <w:p w14:paraId="6CECE07B" w14:textId="0BC70C70" w:rsidR="00307241" w:rsidRPr="00674973" w:rsidRDefault="00307241" w:rsidP="00674973">
      <w:pPr>
        <w:rPr>
          <w:rFonts w:ascii="Times New Roman" w:eastAsia="Times New Roman" w:hAnsi="Times New Roman"/>
        </w:rPr>
      </w:pPr>
      <w:r>
        <w:rPr>
          <w:rStyle w:val="Appelnotedebasdep"/>
        </w:rPr>
        <w:footnoteRef/>
      </w:r>
      <w:r>
        <w:t xml:space="preserve"> </w:t>
      </w:r>
      <w:hyperlink r:id="rId13" w:history="1">
        <w:r w:rsidRPr="00307241">
          <w:rPr>
            <w:rStyle w:val="Lienhypertexte"/>
            <w:sz w:val="20"/>
            <w:szCs w:val="20"/>
          </w:rPr>
          <w:t>https://www.epj-conferences.org/articles/epjconf/pdf/2019/19/epjconf_chep2018_04008.pdf</w:t>
        </w:r>
      </w:hyperlink>
    </w:p>
  </w:footnote>
  <w:footnote w:id="14">
    <w:p w14:paraId="2DA62C8F" w14:textId="77777777" w:rsidR="00285E31" w:rsidRPr="00285E31" w:rsidRDefault="00285E31">
      <w:pPr>
        <w:pStyle w:val="Notedebasdepage"/>
      </w:pPr>
      <w:r>
        <w:rPr>
          <w:rStyle w:val="Appelnotedebasdep"/>
        </w:rPr>
        <w:footnoteRef/>
      </w:r>
      <w:r>
        <w:t xml:space="preserve"> </w:t>
      </w:r>
      <w:r w:rsidRPr="00285E31">
        <w:t>Voucher Schemes for Accessing Commercial Cloud Services in the Research Environment</w:t>
      </w:r>
      <w:r>
        <w:t xml:space="preserve">, </w:t>
      </w:r>
      <w:hyperlink r:id="rId14" w:history="1">
        <w:r w:rsidRPr="00285E31">
          <w:rPr>
            <w:rStyle w:val="Lienhypertexte"/>
          </w:rPr>
          <w:t>https://doi.org/10.5281/zenodo.2615456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247C"/>
    <w:multiLevelType w:val="hybridMultilevel"/>
    <w:tmpl w:val="A072E22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BB"/>
    <w:rsid w:val="0010060F"/>
    <w:rsid w:val="0011659D"/>
    <w:rsid w:val="001A3A8D"/>
    <w:rsid w:val="001F3DDD"/>
    <w:rsid w:val="00285E31"/>
    <w:rsid w:val="00307241"/>
    <w:rsid w:val="003A1B6F"/>
    <w:rsid w:val="003F68BC"/>
    <w:rsid w:val="0044716E"/>
    <w:rsid w:val="00534680"/>
    <w:rsid w:val="00580888"/>
    <w:rsid w:val="0059188F"/>
    <w:rsid w:val="00600267"/>
    <w:rsid w:val="00620319"/>
    <w:rsid w:val="0066589F"/>
    <w:rsid w:val="00674973"/>
    <w:rsid w:val="006A244D"/>
    <w:rsid w:val="007D710A"/>
    <w:rsid w:val="008F1C7D"/>
    <w:rsid w:val="00996EE4"/>
    <w:rsid w:val="00A2199D"/>
    <w:rsid w:val="00A55913"/>
    <w:rsid w:val="00AC6667"/>
    <w:rsid w:val="00B532B1"/>
    <w:rsid w:val="00B87146"/>
    <w:rsid w:val="00B96550"/>
    <w:rsid w:val="00C43516"/>
    <w:rsid w:val="00C4540B"/>
    <w:rsid w:val="00C46C84"/>
    <w:rsid w:val="00C67BB0"/>
    <w:rsid w:val="00C84DBB"/>
    <w:rsid w:val="00CA7BFD"/>
    <w:rsid w:val="00D029E7"/>
    <w:rsid w:val="00D02F35"/>
    <w:rsid w:val="00D4399B"/>
    <w:rsid w:val="00E90B36"/>
    <w:rsid w:val="00EA064B"/>
    <w:rsid w:val="00F9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E2AE"/>
  <w15:chartTrackingRefBased/>
  <w15:docId w15:val="{FE823ABF-2772-431D-9923-D3B03A0D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BB"/>
    <w:pPr>
      <w:spacing w:after="0" w:line="240" w:lineRule="auto"/>
    </w:pPr>
    <w:rPr>
      <w:rFonts w:ascii="Calibri" w:eastAsia="Calibri" w:hAnsi="Calibri" w:cs="Times New Roman"/>
    </w:rPr>
  </w:style>
  <w:style w:type="paragraph" w:styleId="Titre1">
    <w:name w:val="heading 1"/>
    <w:basedOn w:val="Normal"/>
    <w:next w:val="Normal"/>
    <w:link w:val="Titre1Car"/>
    <w:uiPriority w:val="9"/>
    <w:qFormat/>
    <w:rsid w:val="00B871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4DBB"/>
    <w:rPr>
      <w:color w:val="0563C1"/>
      <w:u w:val="single"/>
    </w:rPr>
  </w:style>
  <w:style w:type="paragraph" w:styleId="Notedebasdepage">
    <w:name w:val="footnote text"/>
    <w:basedOn w:val="Normal"/>
    <w:link w:val="NotedebasdepageCar"/>
    <w:uiPriority w:val="99"/>
    <w:semiHidden/>
    <w:unhideWhenUsed/>
    <w:rsid w:val="00D4399B"/>
    <w:rPr>
      <w:sz w:val="20"/>
      <w:szCs w:val="20"/>
    </w:rPr>
  </w:style>
  <w:style w:type="character" w:customStyle="1" w:styleId="NotedebasdepageCar">
    <w:name w:val="Note de bas de page Car"/>
    <w:basedOn w:val="Policepardfaut"/>
    <w:link w:val="Notedebasdepage"/>
    <w:uiPriority w:val="99"/>
    <w:semiHidden/>
    <w:rsid w:val="00D4399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4399B"/>
    <w:rPr>
      <w:vertAlign w:val="superscript"/>
    </w:rPr>
  </w:style>
  <w:style w:type="paragraph" w:styleId="Titre">
    <w:name w:val="Title"/>
    <w:basedOn w:val="Normal"/>
    <w:next w:val="Normal"/>
    <w:link w:val="TitreCar"/>
    <w:uiPriority w:val="10"/>
    <w:qFormat/>
    <w:rsid w:val="00D029E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029E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B8714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F68BC"/>
    <w:rPr>
      <w:rFonts w:ascii="Times New Roman" w:hAnsi="Times New Roman"/>
      <w:sz w:val="24"/>
      <w:szCs w:val="24"/>
    </w:rPr>
  </w:style>
  <w:style w:type="paragraph" w:styleId="Textedebulles">
    <w:name w:val="Balloon Text"/>
    <w:basedOn w:val="Normal"/>
    <w:link w:val="TextedebullesCar"/>
    <w:uiPriority w:val="99"/>
    <w:semiHidden/>
    <w:unhideWhenUsed/>
    <w:rsid w:val="00C67BB0"/>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C67BB0"/>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6343">
      <w:bodyDiv w:val="1"/>
      <w:marLeft w:val="0"/>
      <w:marRight w:val="0"/>
      <w:marTop w:val="0"/>
      <w:marBottom w:val="0"/>
      <w:divBdr>
        <w:top w:val="none" w:sz="0" w:space="0" w:color="auto"/>
        <w:left w:val="none" w:sz="0" w:space="0" w:color="auto"/>
        <w:bottom w:val="none" w:sz="0" w:space="0" w:color="auto"/>
        <w:right w:val="none" w:sz="0" w:space="0" w:color="auto"/>
      </w:divBdr>
      <w:divsChild>
        <w:div w:id="1029259152">
          <w:marLeft w:val="0"/>
          <w:marRight w:val="0"/>
          <w:marTop w:val="0"/>
          <w:marBottom w:val="0"/>
          <w:divBdr>
            <w:top w:val="none" w:sz="0" w:space="0" w:color="auto"/>
            <w:left w:val="none" w:sz="0" w:space="0" w:color="auto"/>
            <w:bottom w:val="none" w:sz="0" w:space="0" w:color="auto"/>
            <w:right w:val="none" w:sz="0" w:space="0" w:color="auto"/>
          </w:divBdr>
          <w:divsChild>
            <w:div w:id="869998906">
              <w:marLeft w:val="0"/>
              <w:marRight w:val="0"/>
              <w:marTop w:val="450"/>
              <w:marBottom w:val="450"/>
              <w:divBdr>
                <w:top w:val="none" w:sz="0" w:space="0" w:color="auto"/>
                <w:left w:val="none" w:sz="0" w:space="0" w:color="auto"/>
                <w:bottom w:val="none" w:sz="0" w:space="0" w:color="auto"/>
                <w:right w:val="none" w:sz="0" w:space="0" w:color="auto"/>
              </w:divBdr>
              <w:divsChild>
                <w:div w:id="1692872842">
                  <w:marLeft w:val="0"/>
                  <w:marRight w:val="0"/>
                  <w:marTop w:val="0"/>
                  <w:marBottom w:val="0"/>
                  <w:divBdr>
                    <w:top w:val="none" w:sz="0" w:space="0" w:color="auto"/>
                    <w:left w:val="none" w:sz="0" w:space="0" w:color="auto"/>
                    <w:bottom w:val="none" w:sz="0" w:space="0" w:color="auto"/>
                    <w:right w:val="none" w:sz="0" w:space="0" w:color="auto"/>
                  </w:divBdr>
                  <w:divsChild>
                    <w:div w:id="13555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04523">
      <w:bodyDiv w:val="1"/>
      <w:marLeft w:val="0"/>
      <w:marRight w:val="0"/>
      <w:marTop w:val="0"/>
      <w:marBottom w:val="0"/>
      <w:divBdr>
        <w:top w:val="none" w:sz="0" w:space="0" w:color="auto"/>
        <w:left w:val="none" w:sz="0" w:space="0" w:color="auto"/>
        <w:bottom w:val="none" w:sz="0" w:space="0" w:color="auto"/>
        <w:right w:val="none" w:sz="0" w:space="0" w:color="auto"/>
      </w:divBdr>
    </w:div>
    <w:div w:id="310596364">
      <w:bodyDiv w:val="1"/>
      <w:marLeft w:val="0"/>
      <w:marRight w:val="0"/>
      <w:marTop w:val="0"/>
      <w:marBottom w:val="0"/>
      <w:divBdr>
        <w:top w:val="none" w:sz="0" w:space="0" w:color="auto"/>
        <w:left w:val="none" w:sz="0" w:space="0" w:color="auto"/>
        <w:bottom w:val="none" w:sz="0" w:space="0" w:color="auto"/>
        <w:right w:val="none" w:sz="0" w:space="0" w:color="auto"/>
      </w:divBdr>
    </w:div>
    <w:div w:id="429206011">
      <w:bodyDiv w:val="1"/>
      <w:marLeft w:val="0"/>
      <w:marRight w:val="0"/>
      <w:marTop w:val="0"/>
      <w:marBottom w:val="0"/>
      <w:divBdr>
        <w:top w:val="none" w:sz="0" w:space="0" w:color="auto"/>
        <w:left w:val="none" w:sz="0" w:space="0" w:color="auto"/>
        <w:bottom w:val="none" w:sz="0" w:space="0" w:color="auto"/>
        <w:right w:val="none" w:sz="0" w:space="0" w:color="auto"/>
      </w:divBdr>
    </w:div>
    <w:div w:id="452329920">
      <w:bodyDiv w:val="1"/>
      <w:marLeft w:val="0"/>
      <w:marRight w:val="0"/>
      <w:marTop w:val="0"/>
      <w:marBottom w:val="0"/>
      <w:divBdr>
        <w:top w:val="none" w:sz="0" w:space="0" w:color="auto"/>
        <w:left w:val="none" w:sz="0" w:space="0" w:color="auto"/>
        <w:bottom w:val="none" w:sz="0" w:space="0" w:color="auto"/>
        <w:right w:val="none" w:sz="0" w:space="0" w:color="auto"/>
      </w:divBdr>
    </w:div>
    <w:div w:id="560795038">
      <w:bodyDiv w:val="1"/>
      <w:marLeft w:val="0"/>
      <w:marRight w:val="0"/>
      <w:marTop w:val="0"/>
      <w:marBottom w:val="0"/>
      <w:divBdr>
        <w:top w:val="none" w:sz="0" w:space="0" w:color="auto"/>
        <w:left w:val="none" w:sz="0" w:space="0" w:color="auto"/>
        <w:bottom w:val="none" w:sz="0" w:space="0" w:color="auto"/>
        <w:right w:val="none" w:sz="0" w:space="0" w:color="auto"/>
      </w:divBdr>
    </w:div>
    <w:div w:id="569778878">
      <w:bodyDiv w:val="1"/>
      <w:marLeft w:val="0"/>
      <w:marRight w:val="0"/>
      <w:marTop w:val="0"/>
      <w:marBottom w:val="0"/>
      <w:divBdr>
        <w:top w:val="none" w:sz="0" w:space="0" w:color="auto"/>
        <w:left w:val="none" w:sz="0" w:space="0" w:color="auto"/>
        <w:bottom w:val="none" w:sz="0" w:space="0" w:color="auto"/>
        <w:right w:val="none" w:sz="0" w:space="0" w:color="auto"/>
      </w:divBdr>
    </w:div>
    <w:div w:id="629483319">
      <w:bodyDiv w:val="1"/>
      <w:marLeft w:val="0"/>
      <w:marRight w:val="0"/>
      <w:marTop w:val="0"/>
      <w:marBottom w:val="0"/>
      <w:divBdr>
        <w:top w:val="none" w:sz="0" w:space="0" w:color="auto"/>
        <w:left w:val="none" w:sz="0" w:space="0" w:color="auto"/>
        <w:bottom w:val="none" w:sz="0" w:space="0" w:color="auto"/>
        <w:right w:val="none" w:sz="0" w:space="0" w:color="auto"/>
      </w:divBdr>
    </w:div>
    <w:div w:id="835681465">
      <w:bodyDiv w:val="1"/>
      <w:marLeft w:val="0"/>
      <w:marRight w:val="0"/>
      <w:marTop w:val="0"/>
      <w:marBottom w:val="0"/>
      <w:divBdr>
        <w:top w:val="none" w:sz="0" w:space="0" w:color="auto"/>
        <w:left w:val="none" w:sz="0" w:space="0" w:color="auto"/>
        <w:bottom w:val="none" w:sz="0" w:space="0" w:color="auto"/>
        <w:right w:val="none" w:sz="0" w:space="0" w:color="auto"/>
      </w:divBdr>
    </w:div>
    <w:div w:id="948587199">
      <w:bodyDiv w:val="1"/>
      <w:marLeft w:val="0"/>
      <w:marRight w:val="0"/>
      <w:marTop w:val="0"/>
      <w:marBottom w:val="0"/>
      <w:divBdr>
        <w:top w:val="none" w:sz="0" w:space="0" w:color="auto"/>
        <w:left w:val="none" w:sz="0" w:space="0" w:color="auto"/>
        <w:bottom w:val="none" w:sz="0" w:space="0" w:color="auto"/>
        <w:right w:val="none" w:sz="0" w:space="0" w:color="auto"/>
      </w:divBdr>
    </w:div>
    <w:div w:id="1069572257">
      <w:bodyDiv w:val="1"/>
      <w:marLeft w:val="0"/>
      <w:marRight w:val="0"/>
      <w:marTop w:val="0"/>
      <w:marBottom w:val="0"/>
      <w:divBdr>
        <w:top w:val="none" w:sz="0" w:space="0" w:color="auto"/>
        <w:left w:val="none" w:sz="0" w:space="0" w:color="auto"/>
        <w:bottom w:val="none" w:sz="0" w:space="0" w:color="auto"/>
        <w:right w:val="none" w:sz="0" w:space="0" w:color="auto"/>
      </w:divBdr>
    </w:div>
    <w:div w:id="1250962316">
      <w:bodyDiv w:val="1"/>
      <w:marLeft w:val="0"/>
      <w:marRight w:val="0"/>
      <w:marTop w:val="0"/>
      <w:marBottom w:val="0"/>
      <w:divBdr>
        <w:top w:val="none" w:sz="0" w:space="0" w:color="auto"/>
        <w:left w:val="none" w:sz="0" w:space="0" w:color="auto"/>
        <w:bottom w:val="none" w:sz="0" w:space="0" w:color="auto"/>
        <w:right w:val="none" w:sz="0" w:space="0" w:color="auto"/>
      </w:divBdr>
    </w:div>
    <w:div w:id="14584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ta-observatory.org/" TargetMode="External"/><Relationship Id="rId13" Type="http://schemas.openxmlformats.org/officeDocument/2006/relationships/hyperlink" Target="https://www.epj-conferences.org/articles/epjconf/pdf/2019/19/epjconf_chep2018_04008.pdf" TargetMode="External"/><Relationship Id="rId3" Type="http://schemas.openxmlformats.org/officeDocument/2006/relationships/hyperlink" Target="https://www.helix-nebula.eu/" TargetMode="External"/><Relationship Id="rId7" Type="http://schemas.openxmlformats.org/officeDocument/2006/relationships/hyperlink" Target="https://www.hnscicloud.eu/" TargetMode="External"/><Relationship Id="rId12" Type="http://schemas.openxmlformats.org/officeDocument/2006/relationships/hyperlink" Target="https://mundiwebservices.com/" TargetMode="External"/><Relationship Id="rId2" Type="http://schemas.openxmlformats.org/officeDocument/2006/relationships/hyperlink" Target="https://www.t-systems.com/de/en/" TargetMode="External"/><Relationship Id="rId1" Type="http://schemas.openxmlformats.org/officeDocument/2006/relationships/hyperlink" Target="https://ec.europa.eu/info/funding-tenders/opportunities/portal/screen/opportunities/topic-details/ict-40-2020" TargetMode="External"/><Relationship Id="rId6" Type="http://schemas.openxmlformats.org/officeDocument/2006/relationships/hyperlink" Target="https://www.t-systems.com/de/en/about-t-systems/company/innovation-management/data-center-biere" TargetMode="External"/><Relationship Id="rId11" Type="http://schemas.openxmlformats.org/officeDocument/2006/relationships/hyperlink" Target="https://www.hnscicloud.eu/sites/default/files/files/HNSC_BookletA5_November2018_21081123_web.pdf" TargetMode="External"/><Relationship Id="rId5" Type="http://schemas.openxmlformats.org/officeDocument/2006/relationships/hyperlink" Target="https://www.t-systems.com/de/en/cloud-and-infrastructure/manage-it-efficiently/open-telekom-cloud" TargetMode="External"/><Relationship Id="rId10" Type="http://schemas.openxmlformats.org/officeDocument/2006/relationships/hyperlink" Target="http://www.lofar.org/" TargetMode="External"/><Relationship Id="rId4" Type="http://schemas.openxmlformats.org/officeDocument/2006/relationships/hyperlink" Target="https://www.datacenterdynamics.com/en/news/deutsche-telekom-gives-cern-a-100gbe-link-to-budapest-data-center/" TargetMode="External"/><Relationship Id="rId9" Type="http://schemas.openxmlformats.org/officeDocument/2006/relationships/hyperlink" Target="https://home.cern/science/accelerators/large-hadron-collider" TargetMode="External"/><Relationship Id="rId14" Type="http://schemas.openxmlformats.org/officeDocument/2006/relationships/hyperlink" Target="https://doi.org/10.5281/zenodo.2615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902F-A0F7-4B8C-8FC0-559DFD02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6789</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CERN</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Jones</dc:creator>
  <cp:keywords/>
  <dc:description/>
  <cp:lastModifiedBy>Jayesh WAGH</cp:lastModifiedBy>
  <cp:revision>2</cp:revision>
  <dcterms:created xsi:type="dcterms:W3CDTF">2020-05-25T12:52:00Z</dcterms:created>
  <dcterms:modified xsi:type="dcterms:W3CDTF">2020-05-25T12:52:00Z</dcterms:modified>
</cp:coreProperties>
</file>