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C46" w:rsidRPr="0002214D" w:rsidRDefault="0002214D" w:rsidP="0002214D">
      <w:pPr>
        <w:jc w:val="center"/>
        <w:rPr>
          <w:b/>
        </w:rPr>
      </w:pPr>
      <w:r w:rsidRPr="0002214D">
        <w:rPr>
          <w:b/>
        </w:rPr>
        <w:t>Contribution aux exercices de prospective 2020-2030</w:t>
      </w:r>
    </w:p>
    <w:p w:rsidR="0002214D" w:rsidRPr="00741DE7" w:rsidRDefault="0002214D" w:rsidP="0002214D">
      <w:pPr>
        <w:jc w:val="center"/>
        <w:rPr>
          <w:b/>
          <w:i/>
        </w:rPr>
      </w:pPr>
      <w:r w:rsidRPr="00741DE7">
        <w:rPr>
          <w:b/>
          <w:i/>
        </w:rPr>
        <w:t>Contribution to the 2020-2030 prospective refle</w:t>
      </w:r>
      <w:r w:rsidR="00767EB6" w:rsidRPr="00741DE7">
        <w:rPr>
          <w:b/>
          <w:i/>
        </w:rPr>
        <w:t>cti</w:t>
      </w:r>
      <w:r w:rsidRPr="00741DE7">
        <w:rPr>
          <w:b/>
          <w:i/>
        </w:rPr>
        <w:t>on</w:t>
      </w:r>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02214D" w:rsidRDefault="0002214D" w:rsidP="003B5089">
      <w:pPr>
        <w:jc w:val="both"/>
        <w:rPr>
          <w:b/>
          <w:lang w:val="en-US"/>
        </w:rPr>
      </w:pPr>
      <w:r w:rsidRPr="0002214D">
        <w:rPr>
          <w:b/>
          <w:lang w:val="en-US"/>
        </w:rPr>
        <w:t xml:space="preserve">1) Aperçu / </w:t>
      </w:r>
      <w:r w:rsidRPr="0002214D">
        <w:rPr>
          <w:b/>
          <w:i/>
          <w:lang w:val="en-US"/>
        </w:rPr>
        <w:t>Overview</w:t>
      </w:r>
    </w:p>
    <w:p w:rsidR="0002214D" w:rsidRPr="0002214D" w:rsidRDefault="0002214D" w:rsidP="003B5089">
      <w:pPr>
        <w:jc w:val="both"/>
        <w:rPr>
          <w:lang w:val="en-US"/>
        </w:rPr>
      </w:pPr>
    </w:p>
    <w:p w:rsidR="006D5F80" w:rsidRDefault="006D5F80" w:rsidP="003B5089">
      <w:pPr>
        <w:jc w:val="both"/>
      </w:pPr>
      <w:r>
        <w:t>Thème de recherche proposé</w:t>
      </w:r>
      <w:r w:rsidR="00314287">
        <w:t xml:space="preserve"> </w:t>
      </w:r>
      <w:r>
        <w:t>:</w:t>
      </w:r>
    </w:p>
    <w:p w:rsidR="006D5F80" w:rsidRPr="00E6041A" w:rsidRDefault="00664D72" w:rsidP="003B5089">
      <w:pPr>
        <w:jc w:val="both"/>
      </w:pPr>
      <w:r w:rsidRPr="00E6041A">
        <w:t>Etude du comportement du combustible nucléaire (UO</w:t>
      </w:r>
      <w:r w:rsidRPr="00E6041A">
        <w:rPr>
          <w:vertAlign w:val="subscript"/>
        </w:rPr>
        <w:t>2</w:t>
      </w:r>
      <w:r w:rsidRPr="00E6041A">
        <w:t xml:space="preserve"> ou MOX) en réacteur et lors de son retraitement</w:t>
      </w:r>
    </w:p>
    <w:p w:rsidR="004C600F" w:rsidRPr="00E6041A" w:rsidRDefault="004C600F" w:rsidP="003B5089">
      <w:pPr>
        <w:jc w:val="both"/>
      </w:pPr>
    </w:p>
    <w:p w:rsidR="004C600F" w:rsidRPr="00E6041A" w:rsidRDefault="004C600F" w:rsidP="00F2613A">
      <w:pPr>
        <w:jc w:val="both"/>
      </w:pPr>
      <w:r w:rsidRPr="00E6041A">
        <w:t>Axe principal concerné (</w:t>
      </w:r>
      <w:r w:rsidRPr="00E6041A">
        <w:rPr>
          <w:b/>
        </w:rPr>
        <w:t>voir la liste</w:t>
      </w:r>
      <w:r w:rsidR="00CE56A6" w:rsidRPr="00E6041A">
        <w:rPr>
          <w:b/>
        </w:rPr>
        <w:t xml:space="preserve"> </w:t>
      </w:r>
      <w:r w:rsidR="00314287" w:rsidRPr="00E6041A">
        <w:rPr>
          <w:b/>
        </w:rPr>
        <w:t xml:space="preserve">des thèmes </w:t>
      </w:r>
      <w:r w:rsidR="00CE56A6" w:rsidRPr="00E6041A">
        <w:rPr>
          <w:b/>
        </w:rPr>
        <w:t>en fin de</w:t>
      </w:r>
      <w:r w:rsidR="00314287" w:rsidRPr="00E6041A">
        <w:rPr>
          <w:b/>
        </w:rPr>
        <w:t xml:space="preserve"> </w:t>
      </w:r>
      <w:r w:rsidR="00CE56A6" w:rsidRPr="00E6041A">
        <w:rPr>
          <w:b/>
        </w:rPr>
        <w:t>document</w:t>
      </w:r>
      <w:r w:rsidRPr="00E6041A">
        <w:t>)</w:t>
      </w:r>
      <w:r w:rsidR="00314287" w:rsidRPr="00E6041A">
        <w:t xml:space="preserve"> </w:t>
      </w:r>
      <w:r w:rsidRPr="00E6041A">
        <w:t>:</w:t>
      </w:r>
      <w:r w:rsidR="00ED12F4" w:rsidRPr="00E6041A">
        <w:t xml:space="preserve"> </w:t>
      </w:r>
    </w:p>
    <w:p w:rsidR="004C600F" w:rsidRPr="00E6041A" w:rsidRDefault="00ED12F4" w:rsidP="00F2613A">
      <w:pPr>
        <w:jc w:val="both"/>
      </w:pPr>
      <w:r w:rsidRPr="00E6041A">
        <w:rPr>
          <w:rFonts w:eastAsia="Times New Roman" w:cstheme="minorHAnsi"/>
          <w:lang w:eastAsia="fr-FR"/>
        </w:rPr>
        <w:t>Radiochimie des matières nucléaires et Irradiation des matériaux nucléaires</w:t>
      </w:r>
    </w:p>
    <w:p w:rsidR="004C600F" w:rsidRPr="00E6041A" w:rsidRDefault="004C600F" w:rsidP="00F2613A">
      <w:pPr>
        <w:jc w:val="both"/>
      </w:pPr>
    </w:p>
    <w:p w:rsidR="00F2613A" w:rsidRPr="00741DE7" w:rsidRDefault="00983468" w:rsidP="00F2613A">
      <w:pPr>
        <w:jc w:val="both"/>
      </w:pPr>
      <w:r w:rsidRPr="00741DE7">
        <w:t>Contributeur</w:t>
      </w:r>
      <w:r w:rsidR="00F2613A" w:rsidRPr="00741DE7">
        <w:t xml:space="preserve">(s) </w:t>
      </w:r>
      <w:r w:rsidR="00377B76" w:rsidRPr="00741DE7">
        <w:t>(et affiliation</w:t>
      </w:r>
      <w:r w:rsidRPr="00741DE7">
        <w:t>s</w:t>
      </w:r>
      <w:r w:rsidR="00377B76" w:rsidRPr="00741DE7">
        <w:t xml:space="preserve">) </w:t>
      </w:r>
      <w:r w:rsidR="00F2613A" w:rsidRPr="00741DE7">
        <w:t>de la proposition</w:t>
      </w:r>
      <w:r w:rsidR="00314287" w:rsidRPr="00741DE7">
        <w:t xml:space="preserve"> </w:t>
      </w:r>
      <w:r w:rsidR="00F2613A" w:rsidRPr="00741DE7">
        <w:t>:</w:t>
      </w:r>
    </w:p>
    <w:p w:rsidR="00F2613A" w:rsidRPr="00741DE7" w:rsidRDefault="00ED12F4" w:rsidP="00F2613A">
      <w:pPr>
        <w:jc w:val="both"/>
      </w:pPr>
      <w:r w:rsidRPr="00741DE7">
        <w:t>Clotilde GAILLARD, Yves PIPON, Nathalie MONCOFFRE, IP2I Lyon</w:t>
      </w:r>
    </w:p>
    <w:p w:rsidR="00ED12F4" w:rsidRPr="00741DE7" w:rsidRDefault="00ED12F4" w:rsidP="00F2613A">
      <w:pPr>
        <w:jc w:val="both"/>
        <w:rPr>
          <w:lang w:val="en-US"/>
        </w:rPr>
      </w:pPr>
      <w:r w:rsidRPr="00741DE7">
        <w:rPr>
          <w:lang w:val="en-US"/>
        </w:rPr>
        <w:t xml:space="preserve">Frederico GARRIDO, </w:t>
      </w:r>
      <w:r w:rsidR="00C80A47" w:rsidRPr="00741DE7">
        <w:rPr>
          <w:lang w:val="en-US"/>
        </w:rPr>
        <w:t>Aurélie Gentils</w:t>
      </w:r>
      <w:r w:rsidR="009D6797" w:rsidRPr="00741DE7">
        <w:rPr>
          <w:lang w:val="en-US"/>
        </w:rPr>
        <w:t>,</w:t>
      </w:r>
      <w:r w:rsidR="00C80A47" w:rsidRPr="00741DE7">
        <w:rPr>
          <w:lang w:val="en-US"/>
        </w:rPr>
        <w:t xml:space="preserve"> </w:t>
      </w:r>
      <w:r w:rsidRPr="00741DE7">
        <w:rPr>
          <w:lang w:val="en-US"/>
        </w:rPr>
        <w:t>CSNSM Orsay</w:t>
      </w:r>
    </w:p>
    <w:p w:rsidR="00ED12F4" w:rsidRPr="00741DE7" w:rsidRDefault="00ED12F4" w:rsidP="00F2613A">
      <w:pPr>
        <w:jc w:val="both"/>
        <w:rPr>
          <w:lang w:val="en-US"/>
        </w:rPr>
      </w:pPr>
    </w:p>
    <w:p w:rsidR="00314287" w:rsidRPr="00741DE7" w:rsidRDefault="00314287" w:rsidP="00F2613A">
      <w:pPr>
        <w:jc w:val="both"/>
        <w:rPr>
          <w:lang w:val="en-US"/>
        </w:rPr>
      </w:pPr>
    </w:p>
    <w:p w:rsidR="00F2613A" w:rsidRPr="00E6041A" w:rsidRDefault="00F2613A" w:rsidP="00F2613A">
      <w:pPr>
        <w:jc w:val="both"/>
      </w:pPr>
      <w:r w:rsidRPr="00741DE7">
        <w:t>Email du contact de la proposition :</w:t>
      </w:r>
      <w:r w:rsidR="009D6797" w:rsidRPr="00741DE7">
        <w:t xml:space="preserve"> </w:t>
      </w:r>
      <w:r w:rsidR="00741DE7" w:rsidRPr="00741DE7">
        <w:t>gaillard@ipnl.in2p3.fr</w:t>
      </w:r>
    </w:p>
    <w:p w:rsidR="00246AE0" w:rsidRPr="00741DE7" w:rsidRDefault="00246AE0" w:rsidP="00F2613A">
      <w:pPr>
        <w:jc w:val="both"/>
      </w:pPr>
    </w:p>
    <w:p w:rsidR="00314287" w:rsidRPr="00741DE7" w:rsidRDefault="00314287" w:rsidP="00F2613A">
      <w:pPr>
        <w:jc w:val="both"/>
      </w:pPr>
    </w:p>
    <w:p w:rsidR="00F2613A" w:rsidRPr="00E6041A" w:rsidRDefault="00246AE0" w:rsidP="00F2613A">
      <w:pPr>
        <w:jc w:val="both"/>
      </w:pPr>
      <w:r w:rsidRPr="00E6041A">
        <w:t>Résumé (5</w:t>
      </w:r>
      <w:r w:rsidR="00F2613A" w:rsidRPr="00E6041A">
        <w:t>00 caractères max., incluant les espaces)</w:t>
      </w:r>
      <w:r w:rsidR="00314287" w:rsidRPr="00E6041A">
        <w:t xml:space="preserve"> </w:t>
      </w:r>
      <w:r w:rsidR="00F2613A" w:rsidRPr="00E6041A">
        <w:t>:</w:t>
      </w:r>
    </w:p>
    <w:p w:rsidR="00775901" w:rsidRPr="00E6041A" w:rsidRDefault="00775901" w:rsidP="00F2613A">
      <w:pPr>
        <w:jc w:val="both"/>
      </w:pPr>
    </w:p>
    <w:p w:rsidR="008A43A3" w:rsidRPr="00E6041A" w:rsidRDefault="0071020F" w:rsidP="00F2613A">
      <w:pPr>
        <w:jc w:val="both"/>
      </w:pPr>
      <w:r w:rsidRPr="00E6041A">
        <w:t>Nos études concernent les</w:t>
      </w:r>
      <w:r w:rsidR="00641311" w:rsidRPr="00E6041A">
        <w:t xml:space="preserve"> recherches sur le combustible nucléaire </w:t>
      </w:r>
      <w:r w:rsidRPr="00E6041A">
        <w:t>UO</w:t>
      </w:r>
      <w:r w:rsidRPr="00E6041A">
        <w:rPr>
          <w:vertAlign w:val="subscript"/>
        </w:rPr>
        <w:t>2</w:t>
      </w:r>
      <w:r w:rsidRPr="00E6041A">
        <w:t xml:space="preserve"> ou MOX. </w:t>
      </w:r>
      <w:r w:rsidR="00641311" w:rsidRPr="00E6041A">
        <w:t>Deux aspects seront étudiés</w:t>
      </w:r>
      <w:r w:rsidRPr="00E6041A">
        <w:t xml:space="preserve">, qui concernent la sureté des réacteurs REP en cas d’accident et le retraitement du combustible : (i) </w:t>
      </w:r>
      <w:r w:rsidR="00775901" w:rsidRPr="00E6041A">
        <w:t>Etude d</w:t>
      </w:r>
      <w:r w:rsidR="00664D72" w:rsidRPr="00E6041A">
        <w:t>es</w:t>
      </w:r>
      <w:r w:rsidR="00775901" w:rsidRPr="00E6041A">
        <w:t xml:space="preserve"> m</w:t>
      </w:r>
      <w:r w:rsidRPr="00E6041A">
        <w:t>écanismes d’oxydation d’UO</w:t>
      </w:r>
      <w:r w:rsidRPr="00E6041A">
        <w:rPr>
          <w:vertAlign w:val="subscript"/>
        </w:rPr>
        <w:t>2</w:t>
      </w:r>
      <w:r w:rsidRPr="00E6041A">
        <w:t xml:space="preserve"> en UO</w:t>
      </w:r>
      <w:r w:rsidRPr="00E6041A">
        <w:rPr>
          <w:vertAlign w:val="subscript"/>
        </w:rPr>
        <w:t>2+x</w:t>
      </w:r>
      <w:r w:rsidRPr="00E6041A">
        <w:t xml:space="preserve"> et</w:t>
      </w:r>
      <w:r w:rsidR="00775901" w:rsidRPr="00E6041A">
        <w:t xml:space="preserve"> son</w:t>
      </w:r>
      <w:r w:rsidRPr="00E6041A">
        <w:t xml:space="preserve"> effet sur la diffusion des produits de fission dans le combustible nucléaire ; (ii) Incidence de l’irradiation sur la durabilité chimique des combustibles nucléaires</w:t>
      </w:r>
      <w:r w:rsidR="00775901" w:rsidRPr="00E6041A">
        <w:t xml:space="preserve"> de type </w:t>
      </w:r>
      <w:r w:rsidR="00641311" w:rsidRPr="00E6041A">
        <w:t>(U,Ce</w:t>
      </w:r>
      <w:r w:rsidRPr="00E6041A">
        <w:t>/Th</w:t>
      </w:r>
      <w:r w:rsidR="00641311" w:rsidRPr="00E6041A">
        <w:t>)O</w:t>
      </w:r>
      <w:r w:rsidR="00641311" w:rsidRPr="00E6041A">
        <w:rPr>
          <w:vertAlign w:val="subscript"/>
        </w:rPr>
        <w:t>2</w:t>
      </w:r>
      <w:r w:rsidR="00641311" w:rsidRPr="00E6041A">
        <w:t xml:space="preserve"> </w:t>
      </w:r>
      <w:r w:rsidRPr="00E6041A">
        <w:t xml:space="preserve">(homologue du combustible MOX). </w:t>
      </w:r>
    </w:p>
    <w:p w:rsidR="0071020F" w:rsidRPr="00E6041A" w:rsidRDefault="0071020F" w:rsidP="00F2613A">
      <w:pPr>
        <w:jc w:val="both"/>
      </w:pPr>
    </w:p>
    <w:p w:rsidR="006D5F80" w:rsidRPr="00E6041A" w:rsidRDefault="006D5F80" w:rsidP="003B5089">
      <w:pPr>
        <w:jc w:val="both"/>
      </w:pPr>
    </w:p>
    <w:p w:rsidR="00F2613A" w:rsidRPr="00314287" w:rsidRDefault="00F2613A" w:rsidP="00F2613A">
      <w:pPr>
        <w:jc w:val="both"/>
        <w:rPr>
          <w:b/>
          <w:i/>
        </w:rPr>
      </w:pPr>
      <w:r w:rsidRPr="00E6041A">
        <w:rPr>
          <w:b/>
        </w:rPr>
        <w:t>2) Description de la question/problématique scientifique rattachée au thème (1 page)</w:t>
      </w:r>
      <w:r w:rsidR="0079180B" w:rsidRPr="00E6041A">
        <w:rPr>
          <w:b/>
        </w:rPr>
        <w:t xml:space="preserve"> </w:t>
      </w:r>
      <w:r w:rsidR="008A43A3" w:rsidRPr="00E6041A">
        <w:rPr>
          <w:b/>
        </w:rPr>
        <w:t>/</w:t>
      </w:r>
      <w:r w:rsidR="0079180B" w:rsidRPr="00E6041A">
        <w:rPr>
          <w:b/>
        </w:rPr>
        <w:t xml:space="preserve"> </w:t>
      </w:r>
      <w:r w:rsidR="008A43A3" w:rsidRPr="00314287">
        <w:rPr>
          <w:b/>
          <w:i/>
        </w:rPr>
        <w:t>Description of the scientific issue connected to the topic (1 page)</w:t>
      </w:r>
    </w:p>
    <w:p w:rsidR="00314287" w:rsidRDefault="00314287" w:rsidP="006D5F80">
      <w:pPr>
        <w:jc w:val="both"/>
        <w:rPr>
          <w:i/>
          <w:color w:val="0070C0"/>
        </w:rPr>
      </w:pPr>
    </w:p>
    <w:p w:rsidR="006D5F80" w:rsidRPr="00314287" w:rsidRDefault="006D5F80" w:rsidP="006D5F80">
      <w:pPr>
        <w:jc w:val="both"/>
        <w:rPr>
          <w:color w:val="0070C0"/>
        </w:rPr>
      </w:pPr>
      <w:r w:rsidRPr="00314287">
        <w:rPr>
          <w:color w:val="0070C0"/>
        </w:rPr>
        <w:t>Merci d’indiquer le positionnement des objectifs dans l’état de l’art (échelle internationale), les liens avec des projets existants et/ou futurs, la pertinence du cadre académique dans la question abordée</w:t>
      </w:r>
      <w:r w:rsidR="00F2613A" w:rsidRPr="00314287">
        <w:rPr>
          <w:color w:val="0070C0"/>
        </w:rPr>
        <w:t>.</w:t>
      </w:r>
    </w:p>
    <w:p w:rsidR="006D5F80" w:rsidRPr="00E6041A" w:rsidRDefault="006D5F80" w:rsidP="003B5089">
      <w:pPr>
        <w:jc w:val="both"/>
      </w:pPr>
    </w:p>
    <w:p w:rsidR="00F03D69" w:rsidRPr="00E6041A" w:rsidRDefault="007645E2" w:rsidP="003B5089">
      <w:pPr>
        <w:jc w:val="both"/>
      </w:pPr>
      <w:r w:rsidRPr="00E6041A">
        <w:t>Les réacteurs nucléaires de type eau pressurisée (REP) constituent les deux tiers du parc nucléaire mondial. Ils sont alimentés par du combustible de type UO</w:t>
      </w:r>
      <w:r w:rsidRPr="00E6041A">
        <w:rPr>
          <w:vertAlign w:val="subscript"/>
        </w:rPr>
        <w:t>2</w:t>
      </w:r>
      <w:r w:rsidRPr="00E6041A">
        <w:t xml:space="preserve"> ou (U,Pu)O</w:t>
      </w:r>
      <w:r w:rsidRPr="00E6041A">
        <w:rPr>
          <w:vertAlign w:val="subscript"/>
        </w:rPr>
        <w:t>2</w:t>
      </w:r>
      <w:r w:rsidRPr="00E6041A">
        <w:t xml:space="preserve"> (appelé MOX) au sein duquel l’énergie est produite par fission. Lors du fonctionnement du réacteur, ce combustible est soumis à de haute</w:t>
      </w:r>
      <w:r w:rsidR="00F03D69" w:rsidRPr="00E6041A">
        <w:t>s</w:t>
      </w:r>
      <w:r w:rsidRPr="00E6041A">
        <w:t xml:space="preserve"> température</w:t>
      </w:r>
      <w:r w:rsidR="00F03D69" w:rsidRPr="00E6041A">
        <w:t>s</w:t>
      </w:r>
      <w:r w:rsidRPr="00E6041A">
        <w:t xml:space="preserve"> (jusqu’à 1000°C) et à </w:t>
      </w:r>
      <w:r w:rsidR="00F03D69" w:rsidRPr="00E6041A">
        <w:t>l’</w:t>
      </w:r>
      <w:r w:rsidRPr="00E6041A">
        <w:t>irradiation produit</w:t>
      </w:r>
      <w:r w:rsidR="00F03D69" w:rsidRPr="00E6041A">
        <w:t>e</w:t>
      </w:r>
      <w:r w:rsidRPr="00E6041A">
        <w:t xml:space="preserve"> notamment par la formation des produits de fission. La présence de ces derniers entraine</w:t>
      </w:r>
      <w:r w:rsidR="00B87D81" w:rsidRPr="00E6041A">
        <w:t xml:space="preserve"> aussi </w:t>
      </w:r>
      <w:r w:rsidRPr="00E6041A">
        <w:t xml:space="preserve">des modifications microstructurales en formant des bulles, précipités ou solutions solides dans le combustible. </w:t>
      </w:r>
      <w:r w:rsidR="00F03D69" w:rsidRPr="00E6041A">
        <w:t xml:space="preserve">Ainsi, le comportement du combustible lui-même et </w:t>
      </w:r>
      <w:r w:rsidR="00F03D69" w:rsidRPr="00E6041A">
        <w:lastRenderedPageBreak/>
        <w:t xml:space="preserve">celui des produits de fission qu’il contient résultent du couplage complexe de tous ces </w:t>
      </w:r>
      <w:r w:rsidR="00B87D81" w:rsidRPr="00E6041A">
        <w:t>paramètres</w:t>
      </w:r>
      <w:r w:rsidR="00F03D69" w:rsidRPr="00E6041A">
        <w:t xml:space="preserve">. </w:t>
      </w:r>
    </w:p>
    <w:p w:rsidR="004C70D7" w:rsidRPr="00E6041A" w:rsidRDefault="00F03D69" w:rsidP="003B5089">
      <w:pPr>
        <w:jc w:val="both"/>
      </w:pPr>
      <w:r w:rsidRPr="00E6041A">
        <w:t xml:space="preserve">Le relâchement des produits de fission </w:t>
      </w:r>
      <w:r w:rsidR="00D82D63" w:rsidRPr="00E6041A">
        <w:t xml:space="preserve">dans l’environnement </w:t>
      </w:r>
      <w:r w:rsidRPr="00E6041A">
        <w:t>en cas de séquence accidentelle est une préoccupation majeure</w:t>
      </w:r>
      <w:r w:rsidR="00D82D63" w:rsidRPr="00E6041A">
        <w:t>. L’amélioration de la sureté des réacteurs demande de pouvoir évaluer les quantités, spéciations et cinétiques de relâchement de ces produits de fission (PF)</w:t>
      </w:r>
      <w:r w:rsidR="004C70D7" w:rsidRPr="00E6041A">
        <w:t xml:space="preserve"> afin de modéliser leur comportement</w:t>
      </w:r>
      <w:r w:rsidR="004350E2" w:rsidRPr="00E6041A">
        <w:t xml:space="preserve"> en fonction de </w:t>
      </w:r>
      <w:r w:rsidR="004C70D7" w:rsidRPr="00E6041A">
        <w:t xml:space="preserve">différents </w:t>
      </w:r>
      <w:r w:rsidR="004350E2" w:rsidRPr="00E6041A">
        <w:t>scenarii possibles</w:t>
      </w:r>
      <w:r w:rsidR="00D82D63" w:rsidRPr="00E6041A">
        <w:t xml:space="preserve">. </w:t>
      </w:r>
      <w:r w:rsidR="004C70D7" w:rsidRPr="00E6041A">
        <w:t xml:space="preserve">Dans ce but, il est nécessaire d’avoir une compréhension fine du comportement des PF en fonction des différents paramètres (température, irradiation, interactions avec d’autres PF..). </w:t>
      </w:r>
      <w:r w:rsidR="005332B9" w:rsidRPr="00E6041A">
        <w:t xml:space="preserve">Nos dernières études menées en </w:t>
      </w:r>
      <w:r w:rsidR="001A4A92" w:rsidRPr="00E6041A">
        <w:t>collaboration</w:t>
      </w:r>
      <w:r w:rsidR="005332B9" w:rsidRPr="00E6041A">
        <w:t xml:space="preserve"> avec ORANO (ex-AREVA) et l’IRSN avaient ainsi pour but de </w:t>
      </w:r>
      <w:r w:rsidR="001A4A92" w:rsidRPr="00E6041A">
        <w:t>mesurer</w:t>
      </w:r>
      <w:r w:rsidR="005332B9" w:rsidRPr="00E6041A">
        <w:t xml:space="preserve"> les coefficients de diffusion et d’identifier les mécanismes de </w:t>
      </w:r>
      <w:r w:rsidR="001A4A92" w:rsidRPr="00E6041A">
        <w:t>migration des produits de fission Xe, M</w:t>
      </w:r>
      <w:r w:rsidR="005332B9" w:rsidRPr="00E6041A">
        <w:t>o et Cs dans UO</w:t>
      </w:r>
      <w:r w:rsidR="005332B9" w:rsidRPr="00E6041A">
        <w:rPr>
          <w:vertAlign w:val="subscript"/>
        </w:rPr>
        <w:t>2</w:t>
      </w:r>
      <w:r w:rsidR="005332B9" w:rsidRPr="00E6041A">
        <w:t xml:space="preserve">. Notre </w:t>
      </w:r>
      <w:r w:rsidR="001A4A92" w:rsidRPr="00E6041A">
        <w:t xml:space="preserve">prochain </w:t>
      </w:r>
      <w:r w:rsidR="005332B9" w:rsidRPr="00E6041A">
        <w:t xml:space="preserve">objectif </w:t>
      </w:r>
      <w:r w:rsidR="001A4A92" w:rsidRPr="00E6041A">
        <w:t>se focalisera sur l’effet de l’oxydation du combustible en cas d’accident. Cette oxydation est rendue possible suite à une rupture de gaine et la mise en contact d’UO</w:t>
      </w:r>
      <w:r w:rsidR="001A4A92" w:rsidRPr="00E6041A">
        <w:rPr>
          <w:vertAlign w:val="subscript"/>
        </w:rPr>
        <w:t>2</w:t>
      </w:r>
      <w:r w:rsidR="001A4A92" w:rsidRPr="00E6041A">
        <w:t xml:space="preserve"> avec la vapeur d’eau sous pression. Quelques études montrent que la formation de UO</w:t>
      </w:r>
      <w:r w:rsidR="001A4A92" w:rsidRPr="00E6041A">
        <w:rPr>
          <w:vertAlign w:val="subscript"/>
        </w:rPr>
        <w:t>2+x</w:t>
      </w:r>
      <w:r w:rsidR="001A4A92" w:rsidRPr="00E6041A">
        <w:t xml:space="preserve"> accélère la migration de certains PF mais ce phénomène est encore mal compris. </w:t>
      </w:r>
    </w:p>
    <w:p w:rsidR="00E555B4" w:rsidRPr="00E6041A" w:rsidRDefault="001A4A92" w:rsidP="003B5089">
      <w:pPr>
        <w:jc w:val="both"/>
      </w:pPr>
      <w:r w:rsidRPr="00E6041A">
        <w:t>Un autre aspect de la vie du combustible sera éga</w:t>
      </w:r>
      <w:r w:rsidR="00B87D81" w:rsidRPr="00E6041A">
        <w:t>lement étudié, son retraitement.</w:t>
      </w:r>
      <w:r w:rsidR="00B668DF" w:rsidRPr="00E6041A">
        <w:t xml:space="preserve"> </w:t>
      </w:r>
      <w:r w:rsidR="00B87D81" w:rsidRPr="00E6041A">
        <w:t>Nos études se placent dans le cadre de l’utilisation du MOX dans les centrales actuelles ou dans les RNR, et de son multi-recyclage. La première étape-clé consiste à dissoudre le MOX usé dans de l’acide concentré</w:t>
      </w:r>
      <w:r w:rsidR="0070541F" w:rsidRPr="00E6041A">
        <w:t xml:space="preserve">. Différents paramètres peuvent influer sur la cinétique et la congruence de la dissolution. </w:t>
      </w:r>
      <w:r w:rsidR="00D02CA1" w:rsidRPr="00E6041A">
        <w:t>Nous nous focaliserons sur l’effet de l’irradiation sur la durabilité chimique de ce type de combustible nucléaire.</w:t>
      </w:r>
    </w:p>
    <w:p w:rsidR="00ED12F4" w:rsidRPr="00E6041A" w:rsidRDefault="00ED12F4" w:rsidP="003B5089">
      <w:pPr>
        <w:jc w:val="both"/>
      </w:pPr>
    </w:p>
    <w:p w:rsidR="00ED12F4" w:rsidRPr="00E6041A" w:rsidRDefault="00ED12F4" w:rsidP="003B5089">
      <w:pPr>
        <w:jc w:val="both"/>
      </w:pPr>
    </w:p>
    <w:p w:rsidR="006D5F80" w:rsidRPr="00741DE7" w:rsidRDefault="006D5F80" w:rsidP="003B5089">
      <w:pPr>
        <w:jc w:val="both"/>
      </w:pPr>
      <w:r w:rsidRPr="00741DE7">
        <w:t xml:space="preserve">Collaborateurs </w:t>
      </w:r>
      <w:r w:rsidR="008A43A3" w:rsidRPr="00741DE7">
        <w:t xml:space="preserve">(personnes ou organismes) </w:t>
      </w:r>
      <w:r w:rsidRPr="00741DE7">
        <w:t>identifiés ou potentiels</w:t>
      </w:r>
      <w:r w:rsidR="00F2613A" w:rsidRPr="00741DE7">
        <w:t> (dans et hors IN2P3) :</w:t>
      </w:r>
    </w:p>
    <w:p w:rsidR="00641311" w:rsidRPr="00741DE7" w:rsidRDefault="00641311" w:rsidP="003B5089">
      <w:pPr>
        <w:jc w:val="both"/>
        <w:rPr>
          <w:lang w:val="en-US"/>
        </w:rPr>
      </w:pPr>
      <w:r w:rsidRPr="00741DE7">
        <w:rPr>
          <w:lang w:val="en-US"/>
        </w:rPr>
        <w:t>IP2I, Lyon</w:t>
      </w:r>
    </w:p>
    <w:p w:rsidR="00641311" w:rsidRPr="00741DE7" w:rsidRDefault="00641311" w:rsidP="003B5089">
      <w:pPr>
        <w:jc w:val="both"/>
        <w:rPr>
          <w:lang w:val="en-US"/>
        </w:rPr>
      </w:pPr>
      <w:r w:rsidRPr="00741DE7">
        <w:rPr>
          <w:lang w:val="en-US"/>
        </w:rPr>
        <w:t>CSNSM/FLUO, Orsay</w:t>
      </w:r>
    </w:p>
    <w:p w:rsidR="00F2613A" w:rsidRPr="00741DE7" w:rsidRDefault="00ED12F4" w:rsidP="003B5089">
      <w:pPr>
        <w:jc w:val="both"/>
        <w:rPr>
          <w:lang w:val="en-US"/>
        </w:rPr>
      </w:pPr>
      <w:r w:rsidRPr="00741DE7">
        <w:rPr>
          <w:lang w:val="en-US"/>
        </w:rPr>
        <w:t>Institut Jean Lamour, Nancy</w:t>
      </w:r>
    </w:p>
    <w:p w:rsidR="00ED12F4" w:rsidRPr="00741DE7" w:rsidRDefault="00ED12F4" w:rsidP="003B5089">
      <w:pPr>
        <w:jc w:val="both"/>
      </w:pPr>
      <w:r w:rsidRPr="00741DE7">
        <w:t>JRC Karlsruhe</w:t>
      </w:r>
      <w:bookmarkStart w:id="0" w:name="_GoBack"/>
      <w:bookmarkEnd w:id="0"/>
    </w:p>
    <w:p w:rsidR="00641311" w:rsidRPr="00741DE7" w:rsidRDefault="00641311" w:rsidP="003B5089">
      <w:pPr>
        <w:jc w:val="both"/>
      </w:pPr>
      <w:r w:rsidRPr="00741DE7">
        <w:t>ICSM, Marcoule</w:t>
      </w:r>
    </w:p>
    <w:p w:rsidR="00F2613A" w:rsidRPr="00741DE7" w:rsidRDefault="00F2613A" w:rsidP="003B5089">
      <w:pPr>
        <w:jc w:val="both"/>
      </w:pPr>
    </w:p>
    <w:p w:rsidR="00F2613A" w:rsidRPr="00E6041A" w:rsidRDefault="00F2613A" w:rsidP="003B5089">
      <w:pPr>
        <w:jc w:val="both"/>
      </w:pPr>
      <w:r w:rsidRPr="00741DE7">
        <w:t>Instruments/Outils impliqués :</w:t>
      </w:r>
      <w:r w:rsidR="00ED12F4" w:rsidRPr="00741DE7">
        <w:t xml:space="preserve"> plateforme JANNUS</w:t>
      </w:r>
    </w:p>
    <w:p w:rsidR="006D5F80" w:rsidRPr="00E6041A" w:rsidRDefault="006D5F80" w:rsidP="003B5089">
      <w:pPr>
        <w:jc w:val="both"/>
      </w:pPr>
    </w:p>
    <w:p w:rsidR="00F2613A" w:rsidRPr="00E6041A" w:rsidRDefault="00F2613A" w:rsidP="00F2613A">
      <w:pPr>
        <w:jc w:val="both"/>
      </w:pPr>
    </w:p>
    <w:p w:rsidR="00F2613A" w:rsidRPr="00741DE7" w:rsidRDefault="00F2613A" w:rsidP="00F2613A">
      <w:pPr>
        <w:jc w:val="both"/>
        <w:rPr>
          <w:b/>
          <w:i/>
        </w:rPr>
      </w:pPr>
      <w:r w:rsidRPr="00741DE7">
        <w:rPr>
          <w:b/>
        </w:rPr>
        <w:t xml:space="preserve">3) </w:t>
      </w:r>
      <w:r w:rsidR="00246AE0" w:rsidRPr="00741DE7">
        <w:rPr>
          <w:b/>
        </w:rPr>
        <w:t>S</w:t>
      </w:r>
      <w:r w:rsidR="00DC7EE1" w:rsidRPr="00741DE7">
        <w:rPr>
          <w:b/>
        </w:rPr>
        <w:t>uggestion</w:t>
      </w:r>
      <w:r w:rsidRPr="00741DE7">
        <w:rPr>
          <w:b/>
        </w:rPr>
        <w:t xml:space="preserve"> de projet</w:t>
      </w:r>
      <w:r w:rsidR="00DC7EE1" w:rsidRPr="00741DE7">
        <w:rPr>
          <w:b/>
        </w:rPr>
        <w:t>(</w:t>
      </w:r>
      <w:r w:rsidRPr="00741DE7">
        <w:rPr>
          <w:b/>
        </w:rPr>
        <w:t>s</w:t>
      </w:r>
      <w:r w:rsidR="00DC7EE1" w:rsidRPr="00741DE7">
        <w:rPr>
          <w:b/>
        </w:rPr>
        <w:t>)</w:t>
      </w:r>
      <w:r w:rsidRPr="00741DE7">
        <w:rPr>
          <w:b/>
        </w:rPr>
        <w:t xml:space="preserve"> pouvant répondre à la question/problématique proposée </w:t>
      </w:r>
      <w:r w:rsidR="008A43A3" w:rsidRPr="00741DE7">
        <w:rPr>
          <w:b/>
        </w:rPr>
        <w:t>(1 page max.)</w:t>
      </w:r>
      <w:r w:rsidR="0079180B" w:rsidRPr="00741DE7">
        <w:rPr>
          <w:b/>
        </w:rPr>
        <w:t xml:space="preserve"> </w:t>
      </w:r>
      <w:r w:rsidR="008A43A3" w:rsidRPr="00741DE7">
        <w:rPr>
          <w:b/>
        </w:rPr>
        <w:t xml:space="preserve">/ </w:t>
      </w:r>
      <w:r w:rsidR="008A43A3" w:rsidRPr="00741DE7">
        <w:rPr>
          <w:b/>
          <w:i/>
        </w:rPr>
        <w:t>Suggestion of project</w:t>
      </w:r>
      <w:r w:rsidR="00DC7EE1" w:rsidRPr="00741DE7">
        <w:rPr>
          <w:b/>
          <w:i/>
        </w:rPr>
        <w:t>(</w:t>
      </w:r>
      <w:r w:rsidR="008A43A3" w:rsidRPr="00741DE7">
        <w:rPr>
          <w:b/>
          <w:i/>
        </w:rPr>
        <w:t>s</w:t>
      </w:r>
      <w:r w:rsidR="00DC7EE1" w:rsidRPr="00741DE7">
        <w:rPr>
          <w:b/>
          <w:i/>
        </w:rPr>
        <w:t>)</w:t>
      </w:r>
      <w:r w:rsidR="008A43A3" w:rsidRPr="00741DE7">
        <w:rPr>
          <w:b/>
          <w:i/>
        </w:rPr>
        <w:t xml:space="preserve"> addressing the issue proposed (1 page max)</w:t>
      </w:r>
    </w:p>
    <w:p w:rsidR="00314287" w:rsidRPr="00741DE7" w:rsidRDefault="00314287" w:rsidP="008A43A3">
      <w:pPr>
        <w:jc w:val="both"/>
        <w:rPr>
          <w:i/>
          <w:color w:val="0070C0"/>
        </w:rPr>
      </w:pPr>
    </w:p>
    <w:p w:rsidR="008A43A3" w:rsidRDefault="00F2613A" w:rsidP="008A43A3">
      <w:pPr>
        <w:jc w:val="both"/>
        <w:rPr>
          <w:i/>
          <w:color w:val="0070C0"/>
        </w:rPr>
      </w:pPr>
      <w:r w:rsidRPr="00F2613A">
        <w:rPr>
          <w:i/>
          <w:color w:val="0070C0"/>
        </w:rPr>
        <w:t>Indiquer si possible l’envergure qu’auraient ce ou ces projets (manpower, budget, durée).</w:t>
      </w:r>
      <w:r w:rsidR="008A43A3">
        <w:rPr>
          <w:i/>
          <w:color w:val="0070C0"/>
        </w:rPr>
        <w:t xml:space="preserve"> </w:t>
      </w:r>
    </w:p>
    <w:p w:rsidR="00D23D89" w:rsidRPr="00741DE7" w:rsidRDefault="00D23D89">
      <w:pPr>
        <w:rPr>
          <w:b/>
        </w:rPr>
      </w:pPr>
    </w:p>
    <w:p w:rsidR="00ED12F4" w:rsidRPr="00E6041A" w:rsidRDefault="00ED12F4" w:rsidP="00ED12F4">
      <w:pPr>
        <w:jc w:val="both"/>
        <w:rPr>
          <w:b/>
          <w:i/>
          <w:u w:val="single"/>
        </w:rPr>
      </w:pPr>
      <w:r w:rsidRPr="00E6041A">
        <w:rPr>
          <w:b/>
          <w:i/>
          <w:u w:val="single"/>
        </w:rPr>
        <w:t>Mécanismes d’oxydation d’UO</w:t>
      </w:r>
      <w:r w:rsidRPr="00E6041A">
        <w:rPr>
          <w:b/>
          <w:i/>
          <w:u w:val="single"/>
          <w:vertAlign w:val="subscript"/>
        </w:rPr>
        <w:t>2</w:t>
      </w:r>
      <w:r w:rsidRPr="00E6041A">
        <w:rPr>
          <w:b/>
          <w:i/>
          <w:u w:val="single"/>
        </w:rPr>
        <w:t xml:space="preserve"> en UO</w:t>
      </w:r>
      <w:r w:rsidRPr="00E6041A">
        <w:rPr>
          <w:b/>
          <w:i/>
          <w:u w:val="single"/>
          <w:vertAlign w:val="subscript"/>
        </w:rPr>
        <w:t>2+x</w:t>
      </w:r>
      <w:r w:rsidRPr="00E6041A">
        <w:rPr>
          <w:b/>
          <w:i/>
          <w:u w:val="single"/>
        </w:rPr>
        <w:t xml:space="preserve"> et effet de la formation d’UO</w:t>
      </w:r>
      <w:r w:rsidRPr="00E6041A">
        <w:rPr>
          <w:b/>
          <w:i/>
          <w:u w:val="single"/>
          <w:vertAlign w:val="subscript"/>
        </w:rPr>
        <w:t>2+x</w:t>
      </w:r>
      <w:r w:rsidRPr="00E6041A">
        <w:rPr>
          <w:b/>
          <w:i/>
          <w:u w:val="single"/>
        </w:rPr>
        <w:t xml:space="preserve"> sur la diffusion des produits de fission dans le combustible nucléaire</w:t>
      </w:r>
    </w:p>
    <w:p w:rsidR="00ED12F4" w:rsidRPr="00E6041A" w:rsidRDefault="00ED12F4" w:rsidP="00ED12F4">
      <w:pPr>
        <w:jc w:val="both"/>
      </w:pPr>
      <w:r w:rsidRPr="00E6041A">
        <w:t>En fonctionnement normal de réacteur ou lors d’une séquence accidentelle, le combustible nucléaire UO</w:t>
      </w:r>
      <w:r w:rsidRPr="00E6041A">
        <w:rPr>
          <w:vertAlign w:val="subscript"/>
        </w:rPr>
        <w:t>2</w:t>
      </w:r>
      <w:r w:rsidRPr="00E6041A">
        <w:t xml:space="preserve"> peut se retrouver en contact avec de la vapeur d’eau suite à une rupture de gaine. Cela entraine une oxydation du combustible avec la formation d’UO</w:t>
      </w:r>
      <w:r w:rsidRPr="00E6041A">
        <w:rPr>
          <w:vertAlign w:val="subscript"/>
        </w:rPr>
        <w:t>2+x</w:t>
      </w:r>
      <w:r w:rsidRPr="00E6041A">
        <w:t>. Quand ce composé est faiblement sur-stœchiométrique (x&lt;0.03), la structure cristalline de UO</w:t>
      </w:r>
      <w:r w:rsidRPr="00E6041A">
        <w:rPr>
          <w:vertAlign w:val="subscript"/>
        </w:rPr>
        <w:t>2</w:t>
      </w:r>
      <w:r w:rsidRPr="00E6041A">
        <w:t xml:space="preserve"> est conservée et les atomes d’oxygène excédentaires sont incorporés dans la maille. Quelques études ont montré que l’oxydation d’UO</w:t>
      </w:r>
      <w:r w:rsidRPr="00E6041A">
        <w:rPr>
          <w:vertAlign w:val="subscript"/>
        </w:rPr>
        <w:t>2</w:t>
      </w:r>
      <w:r w:rsidRPr="00E6041A">
        <w:t xml:space="preserve"> entraine une augmentation de la diffusion des </w:t>
      </w:r>
      <w:r w:rsidRPr="00E6041A">
        <w:lastRenderedPageBreak/>
        <w:t>produits de fission (PF). Une hypothèse est que cela serait lié à un mécanisme de diffusion lacunaire de ces PF dans UO</w:t>
      </w:r>
      <w:r w:rsidRPr="00E6041A">
        <w:rPr>
          <w:vertAlign w:val="subscript"/>
        </w:rPr>
        <w:t>2</w:t>
      </w:r>
      <w:r w:rsidRPr="00E6041A">
        <w:t xml:space="preserve">, facilité </w:t>
      </w:r>
      <w:r w:rsidR="009277A1" w:rsidRPr="00E6041A">
        <w:t>par</w:t>
      </w:r>
      <w:r w:rsidRPr="00E6041A">
        <w:t xml:space="preserve"> la formation d’UO</w:t>
      </w:r>
      <w:r w:rsidRPr="00E6041A">
        <w:rPr>
          <w:vertAlign w:val="subscript"/>
        </w:rPr>
        <w:t>2+x</w:t>
      </w:r>
      <w:r w:rsidRPr="00E6041A">
        <w:t>. Le but de nos études sera :</w:t>
      </w:r>
    </w:p>
    <w:p w:rsidR="00ED12F4" w:rsidRPr="00E6041A" w:rsidRDefault="00ED12F4" w:rsidP="00ED12F4">
      <w:pPr>
        <w:pStyle w:val="Paragraphedeliste"/>
        <w:numPr>
          <w:ilvl w:val="0"/>
          <w:numId w:val="8"/>
        </w:numPr>
        <w:spacing w:after="160" w:line="259" w:lineRule="auto"/>
        <w:jc w:val="both"/>
      </w:pPr>
      <w:r w:rsidRPr="00E6041A">
        <w:t xml:space="preserve">d’étudier les </w:t>
      </w:r>
      <w:r w:rsidRPr="00E6041A">
        <w:rPr>
          <w:i/>
        </w:rPr>
        <w:t>mécanismes d’incorporation des atomes d’oxygène dans UO</w:t>
      </w:r>
      <w:r w:rsidRPr="00E6041A">
        <w:rPr>
          <w:i/>
          <w:vertAlign w:val="subscript"/>
        </w:rPr>
        <w:t>2</w:t>
      </w:r>
      <w:r w:rsidRPr="00E6041A">
        <w:t xml:space="preserve">, notamment en comparant oxydation en atmosphère sèche ou humide. Différentes techniques de caractérisations structurales seront mises en œuvre (spectroscopie Raman, microscopie MET, analyse par RBS-canalisée) ; </w:t>
      </w:r>
    </w:p>
    <w:p w:rsidR="00ED12F4" w:rsidRPr="00E6041A" w:rsidRDefault="00ED12F4" w:rsidP="00ED12F4">
      <w:pPr>
        <w:pStyle w:val="Paragraphedeliste"/>
        <w:numPr>
          <w:ilvl w:val="0"/>
          <w:numId w:val="8"/>
        </w:numPr>
        <w:spacing w:after="160" w:line="259" w:lineRule="auto"/>
        <w:jc w:val="both"/>
      </w:pPr>
      <w:r w:rsidRPr="00E6041A">
        <w:t xml:space="preserve">étudier </w:t>
      </w:r>
      <w:r w:rsidRPr="00E6041A">
        <w:rPr>
          <w:i/>
        </w:rPr>
        <w:t>l’effet de l’irradiation sur cette microstructure</w:t>
      </w:r>
      <w:r w:rsidRPr="00E6041A">
        <w:t>, en particulier l’effet de dépôt d’énergie électronique. En plus des techniques précédentes citées, des mesures de positons seront éventuellement effectuées afin de quantifier les défauts ponctuels créés ;</w:t>
      </w:r>
    </w:p>
    <w:p w:rsidR="00ED12F4" w:rsidRPr="00E6041A" w:rsidRDefault="00ED12F4" w:rsidP="00ED12F4">
      <w:pPr>
        <w:pStyle w:val="Paragraphedeliste"/>
        <w:numPr>
          <w:ilvl w:val="0"/>
          <w:numId w:val="8"/>
        </w:numPr>
        <w:spacing w:after="160" w:line="259" w:lineRule="auto"/>
        <w:jc w:val="both"/>
      </w:pPr>
      <w:r w:rsidRPr="00E6041A">
        <w:t xml:space="preserve">d’étudier </w:t>
      </w:r>
      <w:r w:rsidRPr="00E6041A">
        <w:rPr>
          <w:i/>
        </w:rPr>
        <w:t>l’effet de l’oxydation de UO</w:t>
      </w:r>
      <w:r w:rsidRPr="00E6041A">
        <w:rPr>
          <w:i/>
          <w:vertAlign w:val="subscript"/>
        </w:rPr>
        <w:t>2</w:t>
      </w:r>
      <w:r w:rsidRPr="00E6041A">
        <w:rPr>
          <w:i/>
        </w:rPr>
        <w:t xml:space="preserve"> sur la diffusion d’éléments chimiques</w:t>
      </w:r>
      <w:r w:rsidRPr="00E6041A">
        <w:t xml:space="preserve"> choisis pour être représentatifs des principales classes de PF (gaz, volatils, solubles), en quantifiant les coefficients de diffusion D et le facteur pré-exponentiel D</w:t>
      </w:r>
      <w:r w:rsidRPr="00E6041A">
        <w:rPr>
          <w:vertAlign w:val="subscript"/>
        </w:rPr>
        <w:t>0</w:t>
      </w:r>
      <w:r w:rsidRPr="00E6041A">
        <w:t xml:space="preserve"> en fonction de la sur-stœchiométrie x. En particulier, on attend une corrélation entre le nombre de lacunes U présentes dans le matériau et les valeurs de D</w:t>
      </w:r>
      <w:r w:rsidRPr="00E6041A">
        <w:rPr>
          <w:vertAlign w:val="subscript"/>
        </w:rPr>
        <w:t>0</w:t>
      </w:r>
      <w:r w:rsidRPr="00E6041A">
        <w:t xml:space="preserve"> obtenues. Les éléments étudiés seront introduits dans les échantillons (pastilles ou monocristaux) par infusion gazeuse et leur diffusion sera mesurée par profilométrie SIMS ou désorption gazeuse. En parallèle à ce volet expérimental, des calculs de dynamique moléculaire seront mis en œuvre afin d’expliciter les mécanismes impliqués dans la diffusion et d’aider à la compréhension des résultats expérimentaux.</w:t>
      </w:r>
    </w:p>
    <w:p w:rsidR="00ED12F4" w:rsidRPr="00E6041A" w:rsidRDefault="00ED12F4" w:rsidP="00ED12F4">
      <w:pPr>
        <w:ind w:left="45"/>
        <w:jc w:val="both"/>
      </w:pPr>
    </w:p>
    <w:p w:rsidR="00ED12F4" w:rsidRPr="00E6041A" w:rsidRDefault="00ED12F4" w:rsidP="00ED12F4">
      <w:pPr>
        <w:pStyle w:val="Paragraphedeliste"/>
        <w:ind w:left="405"/>
        <w:jc w:val="both"/>
      </w:pPr>
    </w:p>
    <w:p w:rsidR="00ED12F4" w:rsidRPr="00E6041A" w:rsidRDefault="00ED12F4" w:rsidP="00ED12F4">
      <w:pPr>
        <w:jc w:val="both"/>
        <w:rPr>
          <w:b/>
          <w:i/>
          <w:u w:val="single"/>
        </w:rPr>
      </w:pPr>
      <w:r w:rsidRPr="00E6041A">
        <w:rPr>
          <w:b/>
          <w:i/>
          <w:u w:val="single"/>
        </w:rPr>
        <w:t>Incidence de l’irradiation sur la durabilité chimique des combustibles nucléaires</w:t>
      </w:r>
    </w:p>
    <w:p w:rsidR="00ED12F4" w:rsidRPr="00E6041A" w:rsidRDefault="00ED12F4" w:rsidP="00ED12F4">
      <w:pPr>
        <w:pStyle w:val="Paragraphedeliste"/>
        <w:ind w:left="0"/>
        <w:jc w:val="both"/>
      </w:pPr>
    </w:p>
    <w:p w:rsidR="00ED12F4" w:rsidRPr="00E6041A" w:rsidRDefault="00ED12F4" w:rsidP="00ED12F4">
      <w:pPr>
        <w:pStyle w:val="Paragraphedeliste"/>
        <w:ind w:left="0"/>
        <w:jc w:val="both"/>
        <w:rPr>
          <w:rFonts w:ascii="Calibri" w:hAnsi="Calibri" w:cs="Calibri"/>
          <w:lang w:eastAsia="fr-FR"/>
        </w:rPr>
      </w:pPr>
      <w:r w:rsidRPr="00E6041A">
        <w:t xml:space="preserve">L’utilisation de combustibles de type MOX dans les réacteurs actuels, voire dans les réacteurs à neutrons rapides, pose la question du multi-recyclage et de la fabrication de nouveaux combustibles. Dans ce contexte, le comportement à la lixiviation des combustibles est susceptible d’être fortement impacté par l’irradiation liée aux différentes sources d’endommagement (fragments de fission, particule alpha et noyau de recul). Des systèmes modèles de type </w:t>
      </w:r>
      <w:r w:rsidRPr="00E6041A">
        <w:rPr>
          <w:rFonts w:ascii="Calibri" w:hAnsi="Calibri" w:cs="Calibri"/>
          <w:lang w:eastAsia="fr-FR"/>
        </w:rPr>
        <w:t>U</w:t>
      </w:r>
      <w:r w:rsidRPr="00E6041A">
        <w:rPr>
          <w:rFonts w:ascii="Calibri" w:hAnsi="Calibri" w:cs="Calibri"/>
          <w:vertAlign w:val="subscript"/>
          <w:lang w:eastAsia="fr-FR"/>
        </w:rPr>
        <w:t>1-x</w:t>
      </w:r>
      <w:r w:rsidRPr="00E6041A">
        <w:rPr>
          <w:rFonts w:ascii="Calibri" w:hAnsi="Calibri" w:cs="Calibri"/>
          <w:lang w:eastAsia="fr-FR"/>
        </w:rPr>
        <w:t>Th</w:t>
      </w:r>
      <w:r w:rsidRPr="00E6041A">
        <w:rPr>
          <w:rFonts w:ascii="Calibri" w:hAnsi="Calibri" w:cs="Calibri"/>
          <w:vertAlign w:val="subscript"/>
          <w:lang w:eastAsia="fr-FR"/>
        </w:rPr>
        <w:t>x</w:t>
      </w:r>
      <w:r w:rsidRPr="00E6041A">
        <w:rPr>
          <w:rFonts w:ascii="Calibri" w:hAnsi="Calibri" w:cs="Calibri"/>
          <w:lang w:eastAsia="fr-FR"/>
        </w:rPr>
        <w:t>O</w:t>
      </w:r>
      <w:r w:rsidRPr="00E6041A">
        <w:rPr>
          <w:rFonts w:ascii="Calibri" w:hAnsi="Calibri" w:cs="Calibri"/>
          <w:vertAlign w:val="subscript"/>
          <w:lang w:eastAsia="fr-FR"/>
        </w:rPr>
        <w:t>2</w:t>
      </w:r>
      <w:r w:rsidRPr="00E6041A">
        <w:rPr>
          <w:rFonts w:ascii="Calibri" w:hAnsi="Calibri" w:cs="Calibri"/>
          <w:lang w:eastAsia="fr-FR"/>
        </w:rPr>
        <w:t xml:space="preserve"> et U</w:t>
      </w:r>
      <w:r w:rsidRPr="00E6041A">
        <w:rPr>
          <w:rFonts w:ascii="Calibri" w:hAnsi="Calibri" w:cs="Calibri"/>
          <w:vertAlign w:val="subscript"/>
          <w:lang w:eastAsia="fr-FR"/>
        </w:rPr>
        <w:t>1-x</w:t>
      </w:r>
      <w:r w:rsidRPr="00E6041A">
        <w:rPr>
          <w:rFonts w:ascii="Calibri" w:hAnsi="Calibri" w:cs="Calibri"/>
          <w:lang w:eastAsia="fr-FR"/>
        </w:rPr>
        <w:t>Ce</w:t>
      </w:r>
      <w:r w:rsidRPr="00E6041A">
        <w:rPr>
          <w:rFonts w:ascii="Calibri" w:hAnsi="Calibri" w:cs="Calibri"/>
          <w:vertAlign w:val="subscript"/>
          <w:lang w:eastAsia="fr-FR"/>
        </w:rPr>
        <w:t>x</w:t>
      </w:r>
      <w:r w:rsidRPr="00E6041A">
        <w:rPr>
          <w:rFonts w:ascii="Calibri" w:hAnsi="Calibri" w:cs="Calibri"/>
          <w:lang w:eastAsia="fr-FR"/>
        </w:rPr>
        <w:t>O</w:t>
      </w:r>
      <w:r w:rsidRPr="00E6041A">
        <w:rPr>
          <w:rFonts w:ascii="Calibri" w:hAnsi="Calibri" w:cs="Calibri"/>
          <w:vertAlign w:val="subscript"/>
          <w:lang w:eastAsia="fr-FR"/>
        </w:rPr>
        <w:t>2</w:t>
      </w:r>
      <w:r w:rsidRPr="00E6041A">
        <w:rPr>
          <w:rFonts w:ascii="Calibri" w:hAnsi="Calibri" w:cs="Calibri"/>
          <w:lang w:eastAsia="fr-FR"/>
        </w:rPr>
        <w:t xml:space="preserve"> permettent de conduire des études à caractère paramétrique, en s’affranchissant de la présence de plutonium.</w:t>
      </w:r>
    </w:p>
    <w:p w:rsidR="00ED12F4" w:rsidRPr="00E6041A" w:rsidRDefault="00ED12F4" w:rsidP="00ED12F4">
      <w:pPr>
        <w:pStyle w:val="Paragraphedeliste"/>
        <w:ind w:left="0"/>
        <w:jc w:val="both"/>
      </w:pPr>
      <w:r w:rsidRPr="00E6041A">
        <w:t>L’irradiation aux ions dans des conditions représentatives de conditions siégeant au sein des réacteurs autorise l’étude de l’impact de différents régimes d’endommagement (perte d’énergie balistique ou électronique) sur la vitesse et les mécanismes de dissolution des matériaux d’étude. Des irradiations avec des ions He de quelques MeV, voire des ions lourds, reproduisent les effets d’ionisations alors que des ions lourds créent un endommagement balistique. L’effet synergique de ces deux modes d’endommagement peut également être envisagé en irradiant les matériaux simultanément avec ces deux types de faisceaux. Outre la nature du dépôt d’énergie, le flux de particules et la température des échantillons lors de l’irradiation sont des paramètres importants à faire varier, en raison de leur incidence sur les mécanismes de génération et de la recombinaison des défauts structuraux liés à l’irradiation. Les solides irradiés (et non irradiés) sont ensuite soumis à une étude multiparamétrique de leur dissolution afin de comparer notamment les effets liés à l’incorporation d’éléments tétravalents (Th, Ce) au sein de la matrice UO</w:t>
      </w:r>
      <w:r w:rsidRPr="00E6041A">
        <w:rPr>
          <w:vertAlign w:val="subscript"/>
        </w:rPr>
        <w:t>2</w:t>
      </w:r>
      <w:r w:rsidRPr="00E6041A">
        <w:t xml:space="preserve"> sur la durabilité chimique des solides. La comparaison directe des processus de dissolution relevés pour les échantillons irradiés et non </w:t>
      </w:r>
      <w:r w:rsidRPr="00E6041A">
        <w:lastRenderedPageBreak/>
        <w:t>irradiés permet de discriminer l’impact des défauts cristallins et/ou des modifications microstructurales sur la vitesse de dissolution des matériaux frittés.</w:t>
      </w:r>
    </w:p>
    <w:p w:rsidR="001A4D50" w:rsidRPr="00E6041A" w:rsidRDefault="00641311" w:rsidP="00641311">
      <w:pPr>
        <w:jc w:val="both"/>
      </w:pPr>
      <w:r w:rsidRPr="00E6041A">
        <w:t xml:space="preserve">Un projet structurant sur cette thématique a été déposé dans NEEDS par l’ICSM, avec l’idée de financer une thèse entre IP2I et le CSNSM/IPNO. </w:t>
      </w:r>
    </w:p>
    <w:p w:rsidR="00641311" w:rsidRPr="00E6041A" w:rsidRDefault="00641311">
      <w:pPr>
        <w:rPr>
          <w:b/>
        </w:rPr>
      </w:pPr>
    </w:p>
    <w:p w:rsidR="00641311" w:rsidRDefault="00641311">
      <w:pPr>
        <w:rPr>
          <w:b/>
        </w:rPr>
      </w:pPr>
    </w:p>
    <w:p w:rsidR="00641311" w:rsidRPr="00ED12F4" w:rsidRDefault="00641311"/>
    <w:p w:rsidR="001A4D50" w:rsidRDefault="001A4D50" w:rsidP="001A4D50">
      <w:pPr>
        <w:jc w:val="center"/>
      </w:pPr>
      <w:r>
        <w:t>*</w:t>
      </w:r>
    </w:p>
    <w:p w:rsidR="001A4D50" w:rsidRDefault="001A4D50" w:rsidP="001A4D50">
      <w:pPr>
        <w:jc w:val="center"/>
      </w:pPr>
    </w:p>
    <w:p w:rsidR="001A4D50" w:rsidRPr="00D23D89" w:rsidRDefault="001A4D50" w:rsidP="00314287">
      <w:pPr>
        <w:jc w:val="center"/>
        <w:rPr>
          <w:b/>
        </w:rPr>
      </w:pPr>
      <w:r w:rsidRPr="00D23D89">
        <w:rPr>
          <w:b/>
        </w:rPr>
        <w:t xml:space="preserve">Merci de renvoyer ce document à </w:t>
      </w:r>
      <w:hyperlink r:id="rId7"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8"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rsidR="006A1B8F" w:rsidRDefault="006A1B8F" w:rsidP="00246AE0">
      <w:pPr>
        <w:jc w:val="both"/>
        <w:rPr>
          <w:b/>
          <w:color w:val="FF0000"/>
          <w:lang w:val="en-US"/>
        </w:rPr>
      </w:pPr>
    </w:p>
    <w:p w:rsidR="006A1B8F" w:rsidRDefault="006A1B8F" w:rsidP="00246AE0">
      <w:pPr>
        <w:jc w:val="both"/>
        <w:rPr>
          <w:b/>
          <w:color w:val="FF0000"/>
          <w:lang w:val="en-US"/>
        </w:rPr>
      </w:pPr>
    </w:p>
    <w:p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Physique des réacteurs : modélisation et expérimentation, neutronique, thermohydraulique, couplage multi-physique, acquisition de données de base (sections efficaces, évaluation des données nucléaires, données de thermohydraulique), physique de la sous-criticité, études de scénarios, ouverture interdisciplinaire : approche technico-socio-économique (prix, coût, ressources, ...). Application aux réacteurs actuels et innovants, études de scénarios...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argile)...</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3B14CD" w:rsidRPr="007D194A" w:rsidRDefault="003B14CD" w:rsidP="00314287">
      <w:pPr>
        <w:jc w:val="both"/>
        <w:rPr>
          <w:rFonts w:cstheme="minorHAnsi"/>
          <w:b/>
          <w:i/>
          <w:color w:val="000000" w:themeColor="text1"/>
        </w:rPr>
      </w:pPr>
    </w:p>
    <w:p w:rsidR="006A1B8F" w:rsidRPr="007D194A" w:rsidRDefault="00CE56A6" w:rsidP="00314287">
      <w:pPr>
        <w:jc w:val="both"/>
        <w:rPr>
          <w:rFonts w:cstheme="minorHAnsi"/>
          <w:b/>
          <w:i/>
          <w:color w:val="000000" w:themeColor="text1"/>
        </w:rPr>
      </w:pPr>
      <w:r w:rsidRPr="007D194A">
        <w:rPr>
          <w:rFonts w:cstheme="minorHAnsi"/>
          <w:b/>
          <w:i/>
          <w:color w:val="000000" w:themeColor="text1"/>
        </w:rPr>
        <w:t>R</w:t>
      </w:r>
      <w:r w:rsidR="006A1B8F" w:rsidRPr="007D194A">
        <w:rPr>
          <w:rFonts w:cstheme="minorHAnsi"/>
          <w:b/>
          <w:i/>
          <w:color w:val="000000" w:themeColor="text1"/>
        </w:rPr>
        <w:t>esearch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Reactor physics</w:t>
      </w:r>
      <w:r>
        <w:rPr>
          <w:rFonts w:cstheme="minorHAnsi"/>
          <w:color w:val="000000" w:themeColor="text1"/>
          <w:lang w:val="en-US"/>
        </w:rPr>
        <w:t xml:space="preserve"> </w:t>
      </w:r>
      <w:r w:rsidRPr="007D194A">
        <w:rPr>
          <w:rFonts w:cstheme="minorHAnsi"/>
          <w:color w:val="000000" w:themeColor="text1"/>
          <w:lang w:val="en-US"/>
        </w:rPr>
        <w:t>: modelling and experimentation, neutronics, thermohydraulics,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thermohydraulics data), subcriticality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Radiochemistry of nuclear materials</w:t>
      </w:r>
      <w:r>
        <w:rPr>
          <w:rFonts w:cstheme="minorHAnsi"/>
          <w:color w:val="000000" w:themeColor="text1"/>
          <w:lang w:val="en-US"/>
        </w:rPr>
        <w:t xml:space="preserve"> </w:t>
      </w:r>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clay)...</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lastRenderedPageBreak/>
        <w:t>Irradiation of nuclear materials</w:t>
      </w:r>
      <w:r>
        <w:rPr>
          <w:rFonts w:cstheme="minorHAnsi"/>
          <w:color w:val="000000" w:themeColor="text1"/>
          <w:lang w:val="en-US"/>
        </w:rPr>
        <w:t xml:space="preserve"> </w:t>
      </w:r>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Radioactivity and environment</w:t>
      </w:r>
      <w:r>
        <w:rPr>
          <w:rFonts w:cstheme="minorHAnsi"/>
          <w:color w:val="000000" w:themeColor="text1"/>
          <w:lang w:val="en-US"/>
        </w:rPr>
        <w:t xml:space="preserve"> </w:t>
      </w:r>
      <w:r w:rsidRPr="007D194A">
        <w:rPr>
          <w:rFonts w:cstheme="minorHAnsi"/>
          <w:color w:val="000000" w:themeColor="text1"/>
          <w:lang w:val="en-US"/>
        </w:rPr>
        <w:t>: acquisition of basic data (speciation, ligands), modelling, transfer processes, measurements of very low radioactivity. Application to the behaviour of radionuclides in the biotope, microorganisms, exploration of remediation processes.</w:t>
      </w: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6B0" w:rsidRDefault="00C236B0" w:rsidP="00D23D89">
      <w:r>
        <w:separator/>
      </w:r>
    </w:p>
  </w:endnote>
  <w:endnote w:type="continuationSeparator" w:id="0">
    <w:p w:rsidR="00C236B0" w:rsidRDefault="00C236B0"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741DE7">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6B0" w:rsidRDefault="00C236B0" w:rsidP="00D23D89">
      <w:r>
        <w:separator/>
      </w:r>
    </w:p>
  </w:footnote>
  <w:footnote w:type="continuationSeparator" w:id="0">
    <w:p w:rsidR="00C236B0" w:rsidRDefault="00C236B0" w:rsidP="00D23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5A960D5"/>
    <w:multiLevelType w:val="hybridMultilevel"/>
    <w:tmpl w:val="4C1C29AA"/>
    <w:lvl w:ilvl="0" w:tplc="95729C6C">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2214D"/>
    <w:rsid w:val="0007418E"/>
    <w:rsid w:val="0009397C"/>
    <w:rsid w:val="00143A86"/>
    <w:rsid w:val="00164C6E"/>
    <w:rsid w:val="00197173"/>
    <w:rsid w:val="001A4A92"/>
    <w:rsid w:val="001A4D50"/>
    <w:rsid w:val="001D01E0"/>
    <w:rsid w:val="001D4221"/>
    <w:rsid w:val="001E01A9"/>
    <w:rsid w:val="00246AE0"/>
    <w:rsid w:val="00246F8E"/>
    <w:rsid w:val="002A3866"/>
    <w:rsid w:val="00314287"/>
    <w:rsid w:val="00335157"/>
    <w:rsid w:val="00377B76"/>
    <w:rsid w:val="003A3131"/>
    <w:rsid w:val="003B14CD"/>
    <w:rsid w:val="003B5089"/>
    <w:rsid w:val="004350E2"/>
    <w:rsid w:val="0046126D"/>
    <w:rsid w:val="00476E6E"/>
    <w:rsid w:val="004A51B3"/>
    <w:rsid w:val="004C600F"/>
    <w:rsid w:val="004C70D7"/>
    <w:rsid w:val="004F5501"/>
    <w:rsid w:val="005152A6"/>
    <w:rsid w:val="00520528"/>
    <w:rsid w:val="005332B9"/>
    <w:rsid w:val="00544C4C"/>
    <w:rsid w:val="00567C46"/>
    <w:rsid w:val="005C069C"/>
    <w:rsid w:val="005D6125"/>
    <w:rsid w:val="0063062A"/>
    <w:rsid w:val="00641311"/>
    <w:rsid w:val="00664D72"/>
    <w:rsid w:val="006A1B8F"/>
    <w:rsid w:val="006C176C"/>
    <w:rsid w:val="006D5F80"/>
    <w:rsid w:val="0070541F"/>
    <w:rsid w:val="0071020F"/>
    <w:rsid w:val="00713B5C"/>
    <w:rsid w:val="00741DE7"/>
    <w:rsid w:val="007645E2"/>
    <w:rsid w:val="00767EB6"/>
    <w:rsid w:val="00775901"/>
    <w:rsid w:val="0079180B"/>
    <w:rsid w:val="007C0349"/>
    <w:rsid w:val="007D194A"/>
    <w:rsid w:val="007F1E1F"/>
    <w:rsid w:val="00843ABC"/>
    <w:rsid w:val="008A43A3"/>
    <w:rsid w:val="009045F1"/>
    <w:rsid w:val="009277A1"/>
    <w:rsid w:val="00947816"/>
    <w:rsid w:val="00983468"/>
    <w:rsid w:val="00996407"/>
    <w:rsid w:val="009B2513"/>
    <w:rsid w:val="009D6797"/>
    <w:rsid w:val="00AB57B0"/>
    <w:rsid w:val="00B668DF"/>
    <w:rsid w:val="00B87D81"/>
    <w:rsid w:val="00C236B0"/>
    <w:rsid w:val="00C36378"/>
    <w:rsid w:val="00C80A47"/>
    <w:rsid w:val="00CD3A70"/>
    <w:rsid w:val="00CE56A6"/>
    <w:rsid w:val="00D02CA1"/>
    <w:rsid w:val="00D23D89"/>
    <w:rsid w:val="00D6068B"/>
    <w:rsid w:val="00D61521"/>
    <w:rsid w:val="00D81C5F"/>
    <w:rsid w:val="00D82D63"/>
    <w:rsid w:val="00DC5C9A"/>
    <w:rsid w:val="00DC7EE1"/>
    <w:rsid w:val="00E555B4"/>
    <w:rsid w:val="00E6041A"/>
    <w:rsid w:val="00ED12F4"/>
    <w:rsid w:val="00F03D69"/>
    <w:rsid w:val="00F2613A"/>
    <w:rsid w:val="00FA0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1-copil-l@in2p3.fr" TargetMode="External"/><Relationship Id="rId3" Type="http://schemas.openxmlformats.org/officeDocument/2006/relationships/settings" Target="settings.xml"/><Relationship Id="rId7" Type="http://schemas.openxmlformats.org/officeDocument/2006/relationships/hyperlink" Target="mailto:prosp2020-GT11-copil-l@in2p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1843</Words>
  <Characters>10141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Clotilde GAILLARD</cp:lastModifiedBy>
  <cp:revision>2</cp:revision>
  <dcterms:created xsi:type="dcterms:W3CDTF">2019-10-31T14:54:00Z</dcterms:created>
  <dcterms:modified xsi:type="dcterms:W3CDTF">2019-10-31T14:54:00Z</dcterms:modified>
</cp:coreProperties>
</file>