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EDF02" w14:textId="77777777" w:rsidR="00567C46" w:rsidRPr="00A25C9F" w:rsidRDefault="0002214D" w:rsidP="00A25C9F">
      <w:pPr>
        <w:jc w:val="center"/>
        <w:rPr>
          <w:b/>
        </w:rPr>
      </w:pPr>
      <w:r w:rsidRPr="00A25C9F">
        <w:rPr>
          <w:b/>
        </w:rPr>
        <w:t>Contribution aux exercices de prospective 2020-2030</w:t>
      </w:r>
    </w:p>
    <w:p w14:paraId="2181C12E" w14:textId="77777777" w:rsidR="00160920" w:rsidRDefault="00160920" w:rsidP="00424A8C"/>
    <w:p w14:paraId="2DA65D4A" w14:textId="0447DAB6" w:rsidR="0002214D" w:rsidRPr="00A25C9F" w:rsidRDefault="00A25C9F" w:rsidP="00A25C9F">
      <w:pPr>
        <w:jc w:val="center"/>
        <w:rPr>
          <w:b/>
        </w:rPr>
      </w:pPr>
      <w:r w:rsidRPr="00A25C9F">
        <w:rPr>
          <w:b/>
        </w:rPr>
        <w:t xml:space="preserve">GT11 </w:t>
      </w:r>
      <w:r w:rsidR="0002214D" w:rsidRPr="00A25C9F">
        <w:rPr>
          <w:b/>
        </w:rPr>
        <w:t>Energie nucléaire et environnement</w:t>
      </w:r>
    </w:p>
    <w:p w14:paraId="0A16CA2C" w14:textId="77777777" w:rsidR="0002214D" w:rsidRPr="00A25C9F" w:rsidRDefault="0002214D" w:rsidP="00424A8C"/>
    <w:p w14:paraId="2756B1E2" w14:textId="36179DAD" w:rsidR="0002214D" w:rsidRPr="00A25C9F" w:rsidRDefault="0002214D" w:rsidP="00424A8C">
      <w:pPr>
        <w:rPr>
          <w:b/>
        </w:rPr>
      </w:pPr>
      <w:r w:rsidRPr="00A25C9F">
        <w:rPr>
          <w:b/>
        </w:rPr>
        <w:t xml:space="preserve">1) Aperçu </w:t>
      </w:r>
    </w:p>
    <w:p w14:paraId="43F2F1E9" w14:textId="77777777" w:rsidR="0002214D" w:rsidRPr="00160920" w:rsidRDefault="0002214D" w:rsidP="00424A8C"/>
    <w:p w14:paraId="5A374412" w14:textId="02B40ADF" w:rsidR="006D5F80" w:rsidRDefault="006D5F80" w:rsidP="00424A8C">
      <w:r w:rsidRPr="00883B3C">
        <w:rPr>
          <w:i/>
        </w:rPr>
        <w:t>Thème de recherche proposé</w:t>
      </w:r>
      <w:r w:rsidR="00314287" w:rsidRPr="00883B3C">
        <w:rPr>
          <w:i/>
        </w:rPr>
        <w:t xml:space="preserve"> </w:t>
      </w:r>
      <w:r w:rsidRPr="00883B3C">
        <w:rPr>
          <w:i/>
        </w:rPr>
        <w:t>:</w:t>
      </w:r>
      <w:r w:rsidR="007921F7">
        <w:t xml:space="preserve"> Energie Nucléaire et Environ</w:t>
      </w:r>
      <w:r w:rsidR="00160920">
        <w:t>nem</w:t>
      </w:r>
      <w:r w:rsidR="007921F7">
        <w:t>ent</w:t>
      </w:r>
    </w:p>
    <w:p w14:paraId="7BC29EB9" w14:textId="2B6F9B25" w:rsidR="004C600F" w:rsidRPr="004C600F" w:rsidRDefault="004C600F" w:rsidP="00424A8C">
      <w:r w:rsidRPr="00883B3C">
        <w:rPr>
          <w:i/>
        </w:rPr>
        <w:t>Axe principal concerné :</w:t>
      </w:r>
      <w:r w:rsidR="007921F7">
        <w:t xml:space="preserve"> Radioactivité et environnement</w:t>
      </w:r>
    </w:p>
    <w:p w14:paraId="4130AC8D" w14:textId="77777777" w:rsidR="004C600F" w:rsidRPr="007921F7" w:rsidRDefault="004C600F" w:rsidP="00424A8C"/>
    <w:p w14:paraId="035861C9" w14:textId="77777777" w:rsidR="00F2613A" w:rsidRPr="00883B3C" w:rsidRDefault="00983468" w:rsidP="00424A8C">
      <w:pPr>
        <w:rPr>
          <w:i/>
        </w:rPr>
      </w:pPr>
      <w:r w:rsidRPr="00883B3C">
        <w:rPr>
          <w:i/>
        </w:rPr>
        <w:t>Contributeur</w:t>
      </w:r>
      <w:r w:rsidR="00F2613A" w:rsidRPr="00883B3C">
        <w:rPr>
          <w:i/>
        </w:rPr>
        <w:t xml:space="preserve">(s) </w:t>
      </w:r>
      <w:r w:rsidR="00377B76" w:rsidRPr="00883B3C">
        <w:rPr>
          <w:i/>
        </w:rPr>
        <w:t>(et affiliation</w:t>
      </w:r>
      <w:r w:rsidRPr="00883B3C">
        <w:rPr>
          <w:i/>
        </w:rPr>
        <w:t>s</w:t>
      </w:r>
      <w:r w:rsidR="00377B76" w:rsidRPr="00883B3C">
        <w:rPr>
          <w:i/>
        </w:rPr>
        <w:t xml:space="preserve">) </w:t>
      </w:r>
      <w:r w:rsidR="00F2613A" w:rsidRPr="00883B3C">
        <w:rPr>
          <w:i/>
        </w:rPr>
        <w:t>de la proposition</w:t>
      </w:r>
      <w:r w:rsidR="00314287" w:rsidRPr="00883B3C">
        <w:rPr>
          <w:i/>
        </w:rPr>
        <w:t xml:space="preserve"> </w:t>
      </w:r>
      <w:r w:rsidR="00F2613A" w:rsidRPr="00883B3C">
        <w:rPr>
          <w:i/>
        </w:rPr>
        <w:t>:</w:t>
      </w:r>
    </w:p>
    <w:p w14:paraId="70AC1736" w14:textId="1B95D528" w:rsidR="00F2613A" w:rsidRPr="007921F7" w:rsidRDefault="007921F7" w:rsidP="00424A8C">
      <w:r w:rsidRPr="007921F7">
        <w:t>D.</w:t>
      </w:r>
      <w:r w:rsidR="00F42719">
        <w:t>G.</w:t>
      </w:r>
      <w:r w:rsidRPr="007921F7">
        <w:t xml:space="preserve"> Biron</w:t>
      </w:r>
      <w:r>
        <w:t xml:space="preserve"> (</w:t>
      </w:r>
      <w:r w:rsidRPr="007921F7">
        <w:t>1</w:t>
      </w:r>
      <w:r>
        <w:t>)</w:t>
      </w:r>
      <w:r w:rsidRPr="007921F7">
        <w:t>, P. Chardon</w:t>
      </w:r>
      <w:r>
        <w:t xml:space="preserve"> (</w:t>
      </w:r>
      <w:r w:rsidRPr="007921F7">
        <w:t>2</w:t>
      </w:r>
      <w:r>
        <w:t>)</w:t>
      </w:r>
      <w:r w:rsidRPr="007921F7">
        <w:t>, V. Breton</w:t>
      </w:r>
      <w:r>
        <w:t xml:space="preserve"> (</w:t>
      </w:r>
      <w:r w:rsidRPr="007921F7">
        <w:t>2</w:t>
      </w:r>
      <w:r>
        <w:t>)</w:t>
      </w:r>
      <w:r w:rsidRPr="007921F7">
        <w:t>, G. Montavon</w:t>
      </w:r>
      <w:r>
        <w:t xml:space="preserve"> (</w:t>
      </w:r>
      <w:r w:rsidRPr="007921F7">
        <w:t>3</w:t>
      </w:r>
      <w:r>
        <w:t>)</w:t>
      </w:r>
    </w:p>
    <w:p w14:paraId="15035F7E" w14:textId="148351D0" w:rsidR="007921F7" w:rsidRDefault="007921F7" w:rsidP="00424A8C">
      <w:r>
        <w:t>(</w:t>
      </w:r>
      <w:r w:rsidRPr="007921F7">
        <w:t>1</w:t>
      </w:r>
      <w:r>
        <w:t xml:space="preserve">) </w:t>
      </w:r>
      <w:r w:rsidRPr="007921F7">
        <w:t xml:space="preserve"> </w:t>
      </w:r>
      <w:r>
        <w:t xml:space="preserve">LMGE, </w:t>
      </w:r>
      <w:r w:rsidR="00F42719">
        <w:t>Clermont-Ferrand</w:t>
      </w:r>
    </w:p>
    <w:p w14:paraId="3D731567" w14:textId="77777777" w:rsidR="007921F7" w:rsidRDefault="007921F7" w:rsidP="00424A8C">
      <w:r>
        <w:t>(2) LPC, Clermont-Ferrand</w:t>
      </w:r>
    </w:p>
    <w:p w14:paraId="0308E5D7" w14:textId="77777777" w:rsidR="007921F7" w:rsidRPr="007921F7" w:rsidRDefault="007921F7" w:rsidP="00424A8C">
      <w:r>
        <w:t>(3) Subatech, Nantes</w:t>
      </w:r>
    </w:p>
    <w:p w14:paraId="07661F48" w14:textId="77777777" w:rsidR="007921F7" w:rsidRPr="007921F7" w:rsidRDefault="007921F7" w:rsidP="00424A8C"/>
    <w:p w14:paraId="462CF9EB" w14:textId="77777777" w:rsidR="00F2613A" w:rsidRDefault="00F2613A" w:rsidP="00424A8C">
      <w:r w:rsidRPr="00883B3C">
        <w:rPr>
          <w:i/>
        </w:rPr>
        <w:t>Email du contact de la proposition :</w:t>
      </w:r>
      <w:r w:rsidR="007921F7">
        <w:t xml:space="preserve"> montavon@subatech.in2p3.fr</w:t>
      </w:r>
    </w:p>
    <w:p w14:paraId="467C963F" w14:textId="77777777" w:rsidR="00314287" w:rsidRPr="007921F7" w:rsidRDefault="00314287" w:rsidP="00424A8C"/>
    <w:p w14:paraId="349CBB9D" w14:textId="168EEBBA" w:rsidR="00F2613A" w:rsidRPr="00A25C9F" w:rsidRDefault="00246AE0" w:rsidP="00424A8C">
      <w:pPr>
        <w:rPr>
          <w:i/>
        </w:rPr>
      </w:pPr>
      <w:r w:rsidRPr="00A25C9F">
        <w:rPr>
          <w:i/>
        </w:rPr>
        <w:t>Résumé (5</w:t>
      </w:r>
      <w:r w:rsidR="00F2613A" w:rsidRPr="00A25C9F">
        <w:rPr>
          <w:i/>
        </w:rPr>
        <w:t>00 caractères max., incluant les espaces)</w:t>
      </w:r>
      <w:r w:rsidR="00314287" w:rsidRPr="00A25C9F">
        <w:rPr>
          <w:i/>
        </w:rPr>
        <w:t xml:space="preserve"> </w:t>
      </w:r>
      <w:r w:rsidR="00F2613A" w:rsidRPr="00A25C9F">
        <w:rPr>
          <w:i/>
        </w:rPr>
        <w:t>:</w:t>
      </w:r>
    </w:p>
    <w:p w14:paraId="7F658EBB" w14:textId="1C1B1D85" w:rsidR="00160920" w:rsidRDefault="00E477E5" w:rsidP="00883B3C">
      <w:pPr>
        <w:jc w:val="both"/>
        <w:rPr>
          <w:rFonts w:cstheme="minorHAnsi"/>
          <w:color w:val="000000"/>
        </w:rPr>
      </w:pPr>
      <w:r w:rsidRPr="00883B3C">
        <w:rPr>
          <w:rFonts w:eastAsia="Century Gothic" w:cstheme="minorHAnsi"/>
        </w:rPr>
        <w:t>Labellisée au 1</w:t>
      </w:r>
      <w:r w:rsidRPr="00883B3C">
        <w:rPr>
          <w:rFonts w:eastAsia="Century Gothic" w:cstheme="minorHAnsi"/>
          <w:vertAlign w:val="superscript"/>
        </w:rPr>
        <w:t>er</w:t>
      </w:r>
      <w:r w:rsidRPr="00883B3C">
        <w:rPr>
          <w:rFonts w:eastAsia="Century Gothic" w:cstheme="minorHAnsi"/>
        </w:rPr>
        <w:t xml:space="preserve"> janvier 2015, la Zone Atelier ”</w:t>
      </w:r>
      <w:r w:rsidR="00F5204C">
        <w:rPr>
          <w:rFonts w:eastAsia="Century Gothic" w:cstheme="minorHAnsi"/>
        </w:rPr>
        <w:t>Territoires Uranifères</w:t>
      </w:r>
      <w:r w:rsidRPr="00883B3C">
        <w:rPr>
          <w:rFonts w:eastAsia="Century Gothic" w:cstheme="minorHAnsi"/>
        </w:rPr>
        <w:t>” développ</w:t>
      </w:r>
      <w:r w:rsidR="00453870">
        <w:rPr>
          <w:rFonts w:eastAsia="Century Gothic" w:cstheme="minorHAnsi"/>
        </w:rPr>
        <w:t>e</w:t>
      </w:r>
      <w:r w:rsidRPr="00883B3C">
        <w:rPr>
          <w:rFonts w:eastAsia="Century Gothic" w:cstheme="minorHAnsi"/>
        </w:rPr>
        <w:t xml:space="preserve"> une démarche pluridisciplinaire confrontant les points de vue de biologistes, </w:t>
      </w:r>
      <w:r w:rsidR="00A9489D">
        <w:rPr>
          <w:rFonts w:eastAsia="Century Gothic" w:cstheme="minorHAnsi"/>
        </w:rPr>
        <w:t>(radio)</w:t>
      </w:r>
      <w:r w:rsidRPr="00883B3C">
        <w:rPr>
          <w:rFonts w:eastAsia="Century Gothic" w:cstheme="minorHAnsi"/>
        </w:rPr>
        <w:t>chimistes,</w:t>
      </w:r>
      <w:r w:rsidR="00A9489D">
        <w:rPr>
          <w:rFonts w:eastAsia="Century Gothic" w:cstheme="minorHAnsi"/>
        </w:rPr>
        <w:t xml:space="preserve"> géochimistes, </w:t>
      </w:r>
      <w:r w:rsidRPr="00883B3C">
        <w:rPr>
          <w:rFonts w:eastAsia="Century Gothic" w:cstheme="minorHAnsi"/>
        </w:rPr>
        <w:t xml:space="preserve">géographes, écologues, physiciens et sociologues sur des questions que pose la vie dans des environnements caractérisés par une irradiation chronique d’origine naturelle (NORM : Naturally Occurring Radioactive Material) ou naturelle renforcée ((TE)NORM: Technologically Enhanced NORM). </w:t>
      </w:r>
      <w:r w:rsidR="00F5204C">
        <w:rPr>
          <w:rFonts w:eastAsia="Century Gothic" w:cstheme="minorHAnsi"/>
        </w:rPr>
        <w:t>La</w:t>
      </w:r>
      <w:r w:rsidRPr="00883B3C">
        <w:rPr>
          <w:rFonts w:eastAsia="Century Gothic" w:cstheme="minorHAnsi"/>
        </w:rPr>
        <w:t xml:space="preserve"> ZATU </w:t>
      </w:r>
      <w:r w:rsidR="00F5204C">
        <w:rPr>
          <w:rFonts w:eastAsia="Century Gothic" w:cstheme="minorHAnsi"/>
        </w:rPr>
        <w:t xml:space="preserve">constitue </w:t>
      </w:r>
      <w:r w:rsidRPr="00883B3C">
        <w:rPr>
          <w:rFonts w:eastAsia="Century Gothic" w:cstheme="minorHAnsi"/>
        </w:rPr>
        <w:t>un site de recherche socio-écologique à long terme sans équivalent au niveau international sur ce sujet. De plus, la place du monde académique dans ce contexte souvent polémique lorsque l’on parle de « nucléaire » est clairement</w:t>
      </w:r>
      <w:r w:rsidR="00883B3C">
        <w:rPr>
          <w:rFonts w:eastAsia="Century Gothic" w:cstheme="minorHAnsi"/>
        </w:rPr>
        <w:t xml:space="preserve"> stratégique.  </w:t>
      </w:r>
      <w:r w:rsidR="00160920" w:rsidRPr="00883B3C">
        <w:rPr>
          <w:rFonts w:cstheme="minorHAnsi"/>
          <w:color w:val="000000"/>
        </w:rPr>
        <w:t xml:space="preserve">Les objectifs de la ZATU pour le prochain quinquennat (2019-2023) s’inscrivent dans la continuité du précédent et s’articulent autour de cinq projets. Les recherches sont menées sur le site atelier de Rophin (ancienne mine d’uranium) ainsi que sur des sites observatoires situés à proximité correspondant à des sources minérales radioactives. </w:t>
      </w:r>
    </w:p>
    <w:p w14:paraId="1B31A0E2" w14:textId="1EEE7164" w:rsidR="0062584A" w:rsidRPr="00883B3C" w:rsidRDefault="0062584A" w:rsidP="0062584A">
      <w:pPr>
        <w:rPr>
          <w:rFonts w:cstheme="minorHAnsi"/>
          <w:color w:val="000000"/>
        </w:rPr>
      </w:pPr>
      <w:r>
        <w:rPr>
          <w:rFonts w:cstheme="minorHAnsi"/>
          <w:color w:val="000000"/>
        </w:rPr>
        <w:br w:type="page"/>
      </w:r>
    </w:p>
    <w:p w14:paraId="4231A3E6" w14:textId="240CAA81" w:rsidR="00F2613A" w:rsidRPr="00A25C9F" w:rsidRDefault="00F2613A" w:rsidP="00424A8C">
      <w:pPr>
        <w:rPr>
          <w:b/>
          <w:i/>
        </w:rPr>
      </w:pPr>
      <w:r w:rsidRPr="00A25C9F">
        <w:rPr>
          <w:b/>
        </w:rPr>
        <w:lastRenderedPageBreak/>
        <w:t>2) Description de la question/problématique scientifique rattachée au thème (1 page)</w:t>
      </w:r>
      <w:r w:rsidR="0079180B" w:rsidRPr="00A25C9F">
        <w:rPr>
          <w:b/>
        </w:rPr>
        <w:t xml:space="preserve"> </w:t>
      </w:r>
      <w:r w:rsidR="008A43A3" w:rsidRPr="00A25C9F">
        <w:rPr>
          <w:b/>
        </w:rPr>
        <w:t>/</w:t>
      </w:r>
      <w:r w:rsidR="0079180B" w:rsidRPr="00A25C9F">
        <w:rPr>
          <w:b/>
        </w:rPr>
        <w:t xml:space="preserve"> </w:t>
      </w:r>
    </w:p>
    <w:p w14:paraId="1713D393" w14:textId="77777777" w:rsidR="0062584A" w:rsidRDefault="0062584A" w:rsidP="00424A8C">
      <w:pPr>
        <w:rPr>
          <w:i/>
          <w:u w:val="single"/>
        </w:rPr>
      </w:pPr>
    </w:p>
    <w:p w14:paraId="261375EE" w14:textId="53B9B9A5" w:rsidR="00424A8C" w:rsidRPr="00424A8C" w:rsidRDefault="00424A8C" w:rsidP="00424A8C">
      <w:pPr>
        <w:rPr>
          <w:i/>
          <w:u w:val="single"/>
        </w:rPr>
      </w:pPr>
      <w:r w:rsidRPr="00424A8C">
        <w:rPr>
          <w:i/>
          <w:u w:val="single"/>
        </w:rPr>
        <w:t>Contexte</w:t>
      </w:r>
    </w:p>
    <w:p w14:paraId="28EEEED4" w14:textId="15DB0E77" w:rsidR="00424A8C" w:rsidRPr="008F2D30" w:rsidRDefault="00424A8C" w:rsidP="0062584A">
      <w:pPr>
        <w:jc w:val="both"/>
      </w:pPr>
      <w:r>
        <w:t xml:space="preserve">La production de connaissance sur les interactions entre l’uranium, l’environnement et le vivant, ainsi que l’anticipation des risques potentiels, </w:t>
      </w:r>
      <w:r w:rsidR="0062584A">
        <w:t xml:space="preserve">sont une </w:t>
      </w:r>
      <w:r>
        <w:t>obligation légale depuis la circulaire Borloo de 2009 relative à la surveillance des anciennes mines d’uranium</w:t>
      </w:r>
      <w:r w:rsidRPr="00424A8C">
        <w:t xml:space="preserve">. </w:t>
      </w:r>
      <w:r w:rsidR="0062584A">
        <w:t>La question des effets des (TE)NORM sur l’environnement est plus largement abordée au niveau de la plateforme</w:t>
      </w:r>
      <w:r w:rsidRPr="00424A8C">
        <w:t xml:space="preserve"> ”ALLIANCE” du programme européen CONCERT </w:t>
      </w:r>
      <w:r w:rsidR="0062584A">
        <w:t xml:space="preserve">en radioprotection ainsi que de l’« European Norm Association ». </w:t>
      </w:r>
      <w:r>
        <w:t>A</w:t>
      </w:r>
      <w:r w:rsidRPr="008F2D30">
        <w:t>u-delà des aspects scientifiques, l</w:t>
      </w:r>
      <w:r>
        <w:t>a ZATU a également l’</w:t>
      </w:r>
      <w:r w:rsidRPr="008F2D30">
        <w:t xml:space="preserve">ambition </w:t>
      </w:r>
      <w:r>
        <w:t>d’</w:t>
      </w:r>
      <w:r w:rsidRPr="008F2D30">
        <w:t>associer l’ensemble des acteurs dans une démarche affranchie de l’historique de la mise en place de l’industrie nucléaire française</w:t>
      </w:r>
      <w:r>
        <w:t xml:space="preserve">. Pour cela, il est important de </w:t>
      </w:r>
      <w:r w:rsidRPr="008F2D30">
        <w:t xml:space="preserve">créer un espace de rencontre pour un dialogue entre tous les acteurs, quel que soit leur rôle sociétal, des associations de défense de l’environnement aux acteurs de l’industrie nucléaire. A l‘heure de la science citoyenne, le CNRS est particulièrement bien placé pour animer un tel débat </w:t>
      </w:r>
      <w:r>
        <w:t xml:space="preserve">en tant qu’organisme indépendant </w:t>
      </w:r>
      <w:r w:rsidRPr="008F2D30">
        <w:t xml:space="preserve">dont la recherche est avant tout à vocation fondamentale.  </w:t>
      </w:r>
    </w:p>
    <w:p w14:paraId="3F1AAD81" w14:textId="77777777" w:rsidR="00A126D5" w:rsidRDefault="00A126D5" w:rsidP="00424A8C">
      <w:pPr>
        <w:rPr>
          <w:color w:val="0070C0"/>
        </w:rPr>
      </w:pPr>
    </w:p>
    <w:p w14:paraId="51ADB42E" w14:textId="4FA82B74" w:rsidR="00A126D5" w:rsidRPr="00424A8C" w:rsidRDefault="00424A8C" w:rsidP="00424A8C">
      <w:pPr>
        <w:rPr>
          <w:rFonts w:ascii="Tahoma" w:hAnsi="Tahoma" w:cs="Tahoma"/>
          <w:i/>
          <w:color w:val="000000"/>
          <w:sz w:val="20"/>
          <w:szCs w:val="22"/>
          <w:u w:val="single"/>
        </w:rPr>
      </w:pPr>
      <w:r w:rsidRPr="00424A8C">
        <w:rPr>
          <w:rFonts w:ascii="Tahoma" w:hAnsi="Tahoma" w:cs="Tahoma"/>
          <w:i/>
          <w:color w:val="000000"/>
          <w:sz w:val="20"/>
          <w:szCs w:val="22"/>
          <w:u w:val="single"/>
        </w:rPr>
        <w:t>P</w:t>
      </w:r>
      <w:r w:rsidR="00A126D5" w:rsidRPr="00424A8C">
        <w:rPr>
          <w:rFonts w:ascii="Tahoma" w:hAnsi="Tahoma" w:cs="Tahoma"/>
          <w:i/>
          <w:color w:val="000000"/>
          <w:sz w:val="20"/>
          <w:szCs w:val="22"/>
          <w:u w:val="single"/>
        </w:rPr>
        <w:t xml:space="preserve">roblématique et </w:t>
      </w:r>
      <w:r w:rsidRPr="00424A8C">
        <w:rPr>
          <w:rFonts w:ascii="Tahoma" w:hAnsi="Tahoma" w:cs="Tahoma"/>
          <w:i/>
          <w:color w:val="000000"/>
          <w:sz w:val="20"/>
          <w:szCs w:val="22"/>
          <w:u w:val="single"/>
        </w:rPr>
        <w:t>axes de recherche</w:t>
      </w:r>
    </w:p>
    <w:p w14:paraId="05502C39" w14:textId="77777777" w:rsidR="00A126D5" w:rsidRPr="00314287" w:rsidRDefault="00A126D5" w:rsidP="00424A8C">
      <w:pPr>
        <w:rPr>
          <w:color w:val="0070C0"/>
        </w:rPr>
      </w:pPr>
    </w:p>
    <w:p w14:paraId="714883DB" w14:textId="7316C5AC" w:rsidR="006D5F80" w:rsidRDefault="00A126D5" w:rsidP="0062584A">
      <w:pPr>
        <w:jc w:val="center"/>
      </w:pPr>
      <w:r w:rsidRPr="00A126D5">
        <w:rPr>
          <w:noProof/>
          <w:lang w:eastAsia="fr-FR"/>
        </w:rPr>
        <w:drawing>
          <wp:inline distT="0" distB="0" distL="0" distR="0" wp14:anchorId="0D57210C" wp14:editId="6A92AF5B">
            <wp:extent cx="3778246" cy="221517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0116" cy="2222137"/>
                    </a:xfrm>
                    <a:prstGeom prst="rect">
                      <a:avLst/>
                    </a:prstGeom>
                    <a:noFill/>
                    <a:ln>
                      <a:noFill/>
                    </a:ln>
                  </pic:spPr>
                </pic:pic>
              </a:graphicData>
            </a:graphic>
          </wp:inline>
        </w:drawing>
      </w:r>
    </w:p>
    <w:p w14:paraId="7DBEC65D" w14:textId="0C66D709" w:rsidR="00A126D5" w:rsidRPr="004E6880" w:rsidRDefault="00A126D5" w:rsidP="00424A8C"/>
    <w:p w14:paraId="05F76099" w14:textId="6B96EB78" w:rsidR="006D5F80" w:rsidRDefault="006D5F80" w:rsidP="00424A8C">
      <w:pPr>
        <w:rPr>
          <w:i/>
          <w:u w:val="single"/>
        </w:rPr>
      </w:pPr>
      <w:r w:rsidRPr="00A126D5">
        <w:rPr>
          <w:i/>
          <w:u w:val="single"/>
        </w:rPr>
        <w:t xml:space="preserve">Collaborateurs </w:t>
      </w:r>
      <w:r w:rsidR="002603A4">
        <w:rPr>
          <w:i/>
          <w:u w:val="single"/>
        </w:rPr>
        <w:t>actifs et intéressés pour rejoindre la ZATU</w:t>
      </w:r>
      <w:r w:rsidR="00F2613A" w:rsidRPr="00A126D5">
        <w:rPr>
          <w:i/>
          <w:u w:val="single"/>
        </w:rPr>
        <w:t> :</w:t>
      </w:r>
    </w:p>
    <w:p w14:paraId="3F3A0AF4" w14:textId="77777777" w:rsidR="00A126D5" w:rsidRPr="00A126D5" w:rsidRDefault="00A126D5" w:rsidP="00424A8C">
      <w:pPr>
        <w:rPr>
          <w:i/>
          <w:u w:val="single"/>
        </w:rPr>
      </w:pPr>
    </w:p>
    <w:p w14:paraId="2FA24D3D" w14:textId="31D6CA34" w:rsidR="00F2613A" w:rsidRPr="004E6880" w:rsidRDefault="00A126D5" w:rsidP="0062584A">
      <w:pPr>
        <w:jc w:val="center"/>
      </w:pPr>
      <w:r w:rsidRPr="00A126D5">
        <w:rPr>
          <w:noProof/>
          <w:lang w:eastAsia="fr-FR"/>
        </w:rPr>
        <w:drawing>
          <wp:inline distT="0" distB="0" distL="0" distR="0" wp14:anchorId="2982A23D" wp14:editId="680BDB34">
            <wp:extent cx="4352752" cy="202713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0668" cy="2030824"/>
                    </a:xfrm>
                    <a:prstGeom prst="rect">
                      <a:avLst/>
                    </a:prstGeom>
                    <a:noFill/>
                    <a:ln>
                      <a:noFill/>
                    </a:ln>
                  </pic:spPr>
                </pic:pic>
              </a:graphicData>
            </a:graphic>
          </wp:inline>
        </w:drawing>
      </w:r>
    </w:p>
    <w:p w14:paraId="0079F7D4" w14:textId="77777777" w:rsidR="00F2613A" w:rsidRPr="00A126D5" w:rsidRDefault="00F2613A" w:rsidP="00424A8C">
      <w:pPr>
        <w:rPr>
          <w:i/>
          <w:u w:val="single"/>
        </w:rPr>
      </w:pPr>
      <w:r w:rsidRPr="00A126D5">
        <w:rPr>
          <w:i/>
          <w:u w:val="single"/>
        </w:rPr>
        <w:t>Instruments/Outils impliqués :</w:t>
      </w:r>
    </w:p>
    <w:p w14:paraId="185DAFC5" w14:textId="7539AC7D" w:rsidR="00E0362A" w:rsidRDefault="00A126D5">
      <w:r>
        <w:t xml:space="preserve">Les activités de recherche combinent expérimentation sur le terrain (site atelier de Rophin, </w:t>
      </w:r>
      <w:r w:rsidR="005F4BEF">
        <w:t xml:space="preserve">et observatoires : </w:t>
      </w:r>
      <w:r>
        <w:t>sources minérales) et dans les laboratoires impliqués.</w:t>
      </w:r>
      <w:r w:rsidR="00E0362A">
        <w:br w:type="page"/>
      </w:r>
    </w:p>
    <w:p w14:paraId="40E902F8" w14:textId="699EB42D" w:rsidR="00F2613A" w:rsidRPr="0062584A" w:rsidRDefault="00F2613A" w:rsidP="00424A8C">
      <w:pPr>
        <w:rPr>
          <w:b/>
        </w:rPr>
      </w:pPr>
      <w:r w:rsidRPr="0062584A">
        <w:rPr>
          <w:b/>
        </w:rPr>
        <w:lastRenderedPageBreak/>
        <w:t xml:space="preserve">3) </w:t>
      </w:r>
      <w:r w:rsidR="00676BAE">
        <w:rPr>
          <w:b/>
        </w:rPr>
        <w:t xml:space="preserve">Les </w:t>
      </w:r>
      <w:r w:rsidRPr="0062584A">
        <w:rPr>
          <w:b/>
        </w:rPr>
        <w:t>projet</w:t>
      </w:r>
      <w:r w:rsidR="00DC7EE1" w:rsidRPr="0062584A">
        <w:rPr>
          <w:b/>
        </w:rPr>
        <w:t>(</w:t>
      </w:r>
      <w:r w:rsidRPr="0062584A">
        <w:rPr>
          <w:b/>
        </w:rPr>
        <w:t>s</w:t>
      </w:r>
      <w:r w:rsidR="00DC7EE1" w:rsidRPr="0062584A">
        <w:rPr>
          <w:b/>
        </w:rPr>
        <w:t>)</w:t>
      </w:r>
      <w:r w:rsidRPr="0062584A">
        <w:rPr>
          <w:b/>
        </w:rPr>
        <w:t xml:space="preserve"> </w:t>
      </w:r>
      <w:r w:rsidR="00676BAE">
        <w:rPr>
          <w:b/>
        </w:rPr>
        <w:t>de la ZATU (2019-2023)</w:t>
      </w:r>
      <w:r w:rsidRPr="0062584A">
        <w:rPr>
          <w:b/>
        </w:rPr>
        <w:t xml:space="preserve"> </w:t>
      </w:r>
      <w:r w:rsidR="008A43A3" w:rsidRPr="0062584A">
        <w:rPr>
          <w:b/>
        </w:rPr>
        <w:t>(1 page max.)</w:t>
      </w:r>
      <w:r w:rsidR="0079180B" w:rsidRPr="0062584A">
        <w:rPr>
          <w:b/>
        </w:rPr>
        <w:t xml:space="preserve"> </w:t>
      </w:r>
    </w:p>
    <w:p w14:paraId="7743AEEA" w14:textId="77777777" w:rsidR="00676BAE" w:rsidRDefault="00676BAE" w:rsidP="00E0362A">
      <w:pPr>
        <w:tabs>
          <w:tab w:val="left" w:pos="284"/>
          <w:tab w:val="left" w:pos="1600"/>
        </w:tabs>
        <w:rPr>
          <w:rFonts w:cstheme="minorHAnsi"/>
          <w:color w:val="000000"/>
          <w:szCs w:val="22"/>
        </w:rPr>
      </w:pPr>
    </w:p>
    <w:p w14:paraId="4E1AB771" w14:textId="55068C5D" w:rsidR="00E0362A" w:rsidRPr="00E0362A" w:rsidRDefault="00E0362A" w:rsidP="00E0362A">
      <w:pPr>
        <w:tabs>
          <w:tab w:val="left" w:pos="284"/>
          <w:tab w:val="left" w:pos="1600"/>
        </w:tabs>
        <w:rPr>
          <w:rFonts w:cstheme="minorHAnsi"/>
          <w:color w:val="000000"/>
          <w:szCs w:val="22"/>
        </w:rPr>
      </w:pPr>
      <w:r w:rsidRPr="00E0362A">
        <w:rPr>
          <w:rFonts w:cstheme="minorHAnsi"/>
          <w:color w:val="000000"/>
          <w:szCs w:val="22"/>
        </w:rPr>
        <w:t>Le schéma illustre les projets identifiés pour la période 2019-2023.</w:t>
      </w:r>
    </w:p>
    <w:p w14:paraId="56EE062B" w14:textId="77777777" w:rsidR="00E0362A" w:rsidRPr="00A956AA" w:rsidRDefault="00E0362A" w:rsidP="00E0362A">
      <w:pPr>
        <w:tabs>
          <w:tab w:val="left" w:pos="284"/>
          <w:tab w:val="left" w:pos="1600"/>
        </w:tabs>
        <w:rPr>
          <w:rFonts w:ascii="Tahoma" w:hAnsi="Tahoma" w:cs="Tahoma"/>
          <w:color w:val="000000"/>
          <w:szCs w:val="22"/>
        </w:rPr>
      </w:pPr>
    </w:p>
    <w:p w14:paraId="046F768B" w14:textId="77777777" w:rsidR="00E0362A" w:rsidRPr="00A956AA" w:rsidRDefault="00E0362A" w:rsidP="00E0362A">
      <w:pPr>
        <w:pStyle w:val="instructions"/>
        <w:jc w:val="center"/>
        <w:rPr>
          <w:rFonts w:ascii="Tahoma" w:hAnsi="Tahoma" w:cs="Tahoma"/>
          <w:i w:val="0"/>
          <w:color w:val="000000"/>
          <w:spacing w:val="0"/>
        </w:rPr>
      </w:pPr>
      <w:r w:rsidRPr="00622A50">
        <w:rPr>
          <w:noProof/>
        </w:rPr>
        <w:drawing>
          <wp:inline distT="0" distB="0" distL="0" distR="0" wp14:anchorId="091011AB" wp14:editId="232A8971">
            <wp:extent cx="2387600" cy="10795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3765" cy="1095907"/>
                    </a:xfrm>
                    <a:prstGeom prst="rect">
                      <a:avLst/>
                    </a:prstGeom>
                    <a:noFill/>
                    <a:ln>
                      <a:noFill/>
                    </a:ln>
                  </pic:spPr>
                </pic:pic>
              </a:graphicData>
            </a:graphic>
          </wp:inline>
        </w:drawing>
      </w:r>
    </w:p>
    <w:p w14:paraId="527EF498" w14:textId="32893849" w:rsidR="00A9489D" w:rsidRDefault="00E0362A" w:rsidP="00E0362A">
      <w:pPr>
        <w:tabs>
          <w:tab w:val="left" w:pos="284"/>
          <w:tab w:val="left" w:pos="1600"/>
        </w:tabs>
        <w:spacing w:before="120"/>
        <w:jc w:val="both"/>
        <w:rPr>
          <w:rFonts w:cstheme="minorHAnsi"/>
          <w:color w:val="000000"/>
        </w:rPr>
      </w:pPr>
      <w:r w:rsidRPr="00E0362A">
        <w:rPr>
          <w:rFonts w:cstheme="minorHAnsi"/>
          <w:color w:val="000000"/>
        </w:rPr>
        <w:t>Deux projets (« cloud environnemental » et « capteurs ») sont associés à l’axe « instrumentation » de la ZATU</w:t>
      </w:r>
      <w:r>
        <w:rPr>
          <w:rFonts w:cstheme="minorHAnsi"/>
          <w:color w:val="000000"/>
        </w:rPr>
        <w:t xml:space="preserve">. Les résultats </w:t>
      </w:r>
      <w:r w:rsidRPr="00E0362A">
        <w:rPr>
          <w:rFonts w:cstheme="minorHAnsi"/>
          <w:color w:val="000000"/>
        </w:rPr>
        <w:t xml:space="preserve">vont contribuer à l’apport d’outils et de moyens importants nécessaire à la gestion et à la réalisation des autres projets. </w:t>
      </w:r>
      <w:r w:rsidR="00453870">
        <w:rPr>
          <w:rFonts w:cstheme="minorHAnsi"/>
          <w:color w:val="000000"/>
        </w:rPr>
        <w:t>La mise en place de projets translationnels inter-axes, tels que</w:t>
      </w:r>
      <w:r w:rsidRPr="00E0362A">
        <w:rPr>
          <w:rFonts w:cstheme="minorHAnsi"/>
          <w:color w:val="000000"/>
        </w:rPr>
        <w:t xml:space="preserve"> Tiramisu, Représentation du Risque et Terroir</w:t>
      </w:r>
      <w:r w:rsidR="00453870">
        <w:rPr>
          <w:rFonts w:cstheme="minorHAnsi"/>
          <w:color w:val="000000"/>
        </w:rPr>
        <w:t xml:space="preserve">, </w:t>
      </w:r>
      <w:r w:rsidRPr="00E0362A">
        <w:rPr>
          <w:rFonts w:cstheme="minorHAnsi"/>
          <w:color w:val="000000"/>
        </w:rPr>
        <w:t>faciliteront les échanges et permettront une meilleure visibilité des actions.</w:t>
      </w:r>
    </w:p>
    <w:p w14:paraId="5B4DC127" w14:textId="2DD2A018" w:rsidR="00534810" w:rsidRDefault="00534810" w:rsidP="00534810">
      <w:pPr>
        <w:jc w:val="both"/>
        <w:rPr>
          <w:rFonts w:cstheme="minorHAnsi"/>
        </w:rPr>
      </w:pPr>
      <w:r w:rsidRPr="00534810">
        <w:rPr>
          <w:rFonts w:cstheme="minorHAnsi"/>
        </w:rPr>
        <w:t xml:space="preserve">Le projet </w:t>
      </w:r>
      <w:r w:rsidR="00453870">
        <w:rPr>
          <w:rFonts w:cstheme="minorHAnsi"/>
        </w:rPr>
        <w:t xml:space="preserve">translationnel </w:t>
      </w:r>
      <w:r w:rsidRPr="00534810">
        <w:rPr>
          <w:rFonts w:cstheme="minorHAnsi"/>
        </w:rPr>
        <w:t xml:space="preserve">TIRAMISU (“BiodiversiTy In RAdioactive MIneral SoUrces”) est </w:t>
      </w:r>
      <w:r w:rsidRPr="00E0362A">
        <w:rPr>
          <w:rFonts w:cstheme="minorHAnsi"/>
          <w:color w:val="000000"/>
        </w:rPr>
        <w:t xml:space="preserve">un nouveau projet associé aux sites observatoires de la ZATU, c’est-à-dire les sources minérales. Leurs caractéristiques rendent possible l’étude de la vie </w:t>
      </w:r>
      <w:r>
        <w:rPr>
          <w:rFonts w:cstheme="minorHAnsi"/>
          <w:color w:val="000000"/>
        </w:rPr>
        <w:t>(</w:t>
      </w:r>
      <w:r w:rsidR="005F4BEF">
        <w:rPr>
          <w:rFonts w:cstheme="minorHAnsi"/>
          <w:color w:val="000000"/>
        </w:rPr>
        <w:t xml:space="preserve">ex. : </w:t>
      </w:r>
      <w:r>
        <w:rPr>
          <w:rFonts w:cstheme="minorHAnsi"/>
          <w:color w:val="000000"/>
        </w:rPr>
        <w:t>microorganismes</w:t>
      </w:r>
      <w:r w:rsidR="005F4BEF">
        <w:rPr>
          <w:rFonts w:cstheme="minorHAnsi"/>
          <w:color w:val="000000"/>
        </w:rPr>
        <w:t xml:space="preserve"> telles les diatomées, espèces modèles, pour déterminer la qualité d’un habitat aquatique</w:t>
      </w:r>
      <w:r>
        <w:rPr>
          <w:rFonts w:cstheme="minorHAnsi"/>
          <w:color w:val="000000"/>
        </w:rPr>
        <w:t xml:space="preserve">) </w:t>
      </w:r>
      <w:r w:rsidRPr="00E0362A">
        <w:rPr>
          <w:rFonts w:cstheme="minorHAnsi"/>
          <w:color w:val="000000"/>
        </w:rPr>
        <w:t>en présence de radioactivité à l’échelle des faibles doses. Les résultats de ce projet, comparés à ceux obtenus sur le site anthropisé de Rophin (milieu aquatique), permettront d’appréhender les notions d’évolution/adaptation et d’impact</w:t>
      </w:r>
      <w:r w:rsidR="00676BAE">
        <w:rPr>
          <w:rFonts w:cstheme="minorHAnsi"/>
          <w:color w:val="000000"/>
        </w:rPr>
        <w:t xml:space="preserve">. </w:t>
      </w:r>
      <w:r w:rsidRPr="00E0362A">
        <w:rPr>
          <w:rFonts w:cstheme="minorHAnsi"/>
        </w:rPr>
        <w:t>Le projet TERROIR (</w:t>
      </w:r>
      <w:r w:rsidR="00676BAE">
        <w:rPr>
          <w:rFonts w:cstheme="minorHAnsi"/>
        </w:rPr>
        <w:t>« </w:t>
      </w:r>
      <w:r w:rsidRPr="00E0362A">
        <w:rPr>
          <w:rFonts w:cstheme="minorHAnsi"/>
        </w:rPr>
        <w:t>TransfER/tRanspOrt of (radio)elements and their Impact/risk on the environment of the Rophin site</w:t>
      </w:r>
      <w:r w:rsidR="00676BAE">
        <w:rPr>
          <w:rFonts w:cstheme="minorHAnsi"/>
        </w:rPr>
        <w:t> »</w:t>
      </w:r>
      <w:r w:rsidRPr="00E0362A">
        <w:rPr>
          <w:rFonts w:cstheme="minorHAnsi"/>
        </w:rPr>
        <w:t>) s’appuie sur de</w:t>
      </w:r>
      <w:r>
        <w:rPr>
          <w:rFonts w:cstheme="minorHAnsi"/>
        </w:rPr>
        <w:t xml:space="preserve">s acquis du premier quinquennat </w:t>
      </w:r>
      <w:r w:rsidRPr="00E0362A">
        <w:rPr>
          <w:rFonts w:cstheme="minorHAnsi"/>
        </w:rPr>
        <w:t xml:space="preserve">et se concentre sur le transfert/transport des (radio)éléments et leur impact/risque sur l’environnement du site </w:t>
      </w:r>
      <w:r w:rsidR="00676BAE">
        <w:rPr>
          <w:rFonts w:cstheme="minorHAnsi"/>
        </w:rPr>
        <w:t xml:space="preserve">instrumenté </w:t>
      </w:r>
      <w:r w:rsidRPr="00E0362A">
        <w:rPr>
          <w:rFonts w:cstheme="minorHAnsi"/>
        </w:rPr>
        <w:t xml:space="preserve">de Rophin. </w:t>
      </w:r>
      <w:r>
        <w:rPr>
          <w:rFonts w:cstheme="minorHAnsi"/>
        </w:rPr>
        <w:t>Enfin, le projet « Représenta</w:t>
      </w:r>
      <w:r w:rsidR="00453870">
        <w:rPr>
          <w:rFonts w:cstheme="minorHAnsi"/>
        </w:rPr>
        <w:t>t</w:t>
      </w:r>
      <w:r>
        <w:rPr>
          <w:rFonts w:cstheme="minorHAnsi"/>
        </w:rPr>
        <w:t>ion du R</w:t>
      </w:r>
      <w:bookmarkStart w:id="0" w:name="_GoBack"/>
      <w:bookmarkEnd w:id="0"/>
      <w:r>
        <w:rPr>
          <w:rFonts w:cstheme="minorHAnsi"/>
        </w:rPr>
        <w:t xml:space="preserve">ISQUE » </w:t>
      </w:r>
      <w:bookmarkStart w:id="1" w:name="_Toc361678886"/>
      <w:bookmarkStart w:id="2" w:name="_Ref7531475"/>
      <w:bookmarkStart w:id="3" w:name="_Ref7509926"/>
      <w:bookmarkStart w:id="4" w:name="_Toc504127520"/>
      <w:bookmarkStart w:id="5" w:name="_Ref7528288"/>
      <w:bookmarkEnd w:id="1"/>
      <w:bookmarkEnd w:id="2"/>
      <w:bookmarkEnd w:id="3"/>
      <w:bookmarkEnd w:id="4"/>
      <w:bookmarkEnd w:id="5"/>
      <w:r w:rsidRPr="00E0362A">
        <w:rPr>
          <w:rFonts w:cstheme="minorHAnsi"/>
        </w:rPr>
        <w:t>s’intéresse à la notion de risque (qui dépasse le risque physique) et intègre les autres paramètres d’intérêt qui intéressent les SHS.</w:t>
      </w:r>
      <w:r w:rsidR="00676BAE">
        <w:rPr>
          <w:rFonts w:cstheme="minorHAnsi"/>
        </w:rPr>
        <w:t xml:space="preserve"> Il s’appuie également sur un travail conséquent réalisé sur la période 2015-2019.</w:t>
      </w:r>
    </w:p>
    <w:p w14:paraId="400EB300" w14:textId="6751A816" w:rsidR="00E0362A" w:rsidRPr="00E0362A" w:rsidRDefault="00E0362A" w:rsidP="00E0362A">
      <w:pPr>
        <w:tabs>
          <w:tab w:val="left" w:pos="284"/>
          <w:tab w:val="left" w:pos="1600"/>
        </w:tabs>
        <w:spacing w:before="120"/>
        <w:jc w:val="both"/>
        <w:rPr>
          <w:rFonts w:cstheme="minorHAnsi"/>
          <w:color w:val="000000"/>
        </w:rPr>
      </w:pPr>
      <w:r w:rsidRPr="00E0362A">
        <w:rPr>
          <w:rFonts w:cstheme="minorHAnsi"/>
          <w:color w:val="000000"/>
        </w:rPr>
        <w:t>Il faut ajouter à cela les actions Inter-Zones Ateliers en cours de mise en place (ex. : EcoHEALTH (pathogène (maladie de lyme)/vecteur (tiques), « gestion des données » …., Home-Milieu Environnement (c.-à-d. risques de la radioactivité, trajectoire du risque et résilience d’un socio-écosystème))</w:t>
      </w:r>
      <w:r w:rsidR="00EA38DB">
        <w:rPr>
          <w:rFonts w:cstheme="minorHAnsi"/>
          <w:color w:val="000000"/>
        </w:rPr>
        <w:t>.</w:t>
      </w:r>
    </w:p>
    <w:p w14:paraId="5CB990A5" w14:textId="77777777" w:rsidR="00676BAE" w:rsidRDefault="00676BAE" w:rsidP="00E0362A">
      <w:pPr>
        <w:jc w:val="both"/>
        <w:rPr>
          <w:rFonts w:cstheme="minorHAnsi"/>
        </w:rPr>
      </w:pPr>
    </w:p>
    <w:p w14:paraId="1B0B62BD" w14:textId="1714FA48" w:rsidR="007415FD" w:rsidRDefault="00EA38DB" w:rsidP="00E0362A">
      <w:pPr>
        <w:jc w:val="both"/>
        <w:rPr>
          <w:rFonts w:cstheme="minorHAnsi"/>
        </w:rPr>
      </w:pPr>
      <w:r>
        <w:rPr>
          <w:rFonts w:cstheme="minorHAnsi"/>
        </w:rPr>
        <w:t xml:space="preserve">La contribution des acteurs de l’IN2P3 est centrée sur les questions de </w:t>
      </w:r>
      <w:r w:rsidR="007415FD">
        <w:rPr>
          <w:rFonts w:cstheme="minorHAnsi"/>
        </w:rPr>
        <w:t xml:space="preserve">(i) </w:t>
      </w:r>
      <w:r>
        <w:rPr>
          <w:rFonts w:cstheme="minorHAnsi"/>
        </w:rPr>
        <w:t>mesure de la radioactivité</w:t>
      </w:r>
      <w:r w:rsidR="007415FD">
        <w:rPr>
          <w:rFonts w:cstheme="minorHAnsi"/>
        </w:rPr>
        <w:t xml:space="preserve">, (ii) </w:t>
      </w:r>
      <w:r>
        <w:rPr>
          <w:rFonts w:cstheme="minorHAnsi"/>
        </w:rPr>
        <w:t xml:space="preserve">l’étude des formes chimiques des radionucléides </w:t>
      </w:r>
      <w:r w:rsidR="007415FD">
        <w:rPr>
          <w:rFonts w:cstheme="minorHAnsi"/>
        </w:rPr>
        <w:t>(</w:t>
      </w:r>
      <w:r>
        <w:rPr>
          <w:rFonts w:cstheme="minorHAnsi"/>
        </w:rPr>
        <w:t>qui va conditionner leur comportement</w:t>
      </w:r>
      <w:r w:rsidR="007415FD">
        <w:rPr>
          <w:rFonts w:cstheme="minorHAnsi"/>
        </w:rPr>
        <w:t>)</w:t>
      </w:r>
      <w:r>
        <w:rPr>
          <w:rFonts w:cstheme="minorHAnsi"/>
        </w:rPr>
        <w:t xml:space="preserve"> </w:t>
      </w:r>
      <w:r w:rsidR="007415FD">
        <w:rPr>
          <w:rFonts w:cstheme="minorHAnsi"/>
        </w:rPr>
        <w:t>en couplant des approches expé</w:t>
      </w:r>
      <w:r>
        <w:rPr>
          <w:rFonts w:cstheme="minorHAnsi"/>
        </w:rPr>
        <w:t xml:space="preserve">rimentales </w:t>
      </w:r>
      <w:r w:rsidR="007415FD">
        <w:rPr>
          <w:rFonts w:cstheme="minorHAnsi"/>
        </w:rPr>
        <w:t>(</w:t>
      </w:r>
      <w:r>
        <w:rPr>
          <w:rFonts w:cstheme="minorHAnsi"/>
        </w:rPr>
        <w:t>au laboratoire ou sur le terrain</w:t>
      </w:r>
      <w:r w:rsidR="007415FD">
        <w:rPr>
          <w:rFonts w:cstheme="minorHAnsi"/>
        </w:rPr>
        <w:t>)</w:t>
      </w:r>
      <w:r>
        <w:rPr>
          <w:rFonts w:cstheme="minorHAnsi"/>
        </w:rPr>
        <w:t xml:space="preserve"> et de modélisation</w:t>
      </w:r>
      <w:r w:rsidR="007415FD">
        <w:rPr>
          <w:rFonts w:cstheme="minorHAnsi"/>
        </w:rPr>
        <w:t>, et enfin (iii) la modélisatio</w:t>
      </w:r>
      <w:r w:rsidR="00676BAE">
        <w:rPr>
          <w:rFonts w:cstheme="minorHAnsi"/>
        </w:rPr>
        <w:t>n des effets via des simulations Monte</w:t>
      </w:r>
      <w:r w:rsidR="007415FD">
        <w:rPr>
          <w:rFonts w:cstheme="minorHAnsi"/>
        </w:rPr>
        <w:t xml:space="preserve"> Carlo (GEANT…)</w:t>
      </w:r>
      <w:r>
        <w:rPr>
          <w:rFonts w:cstheme="minorHAnsi"/>
        </w:rPr>
        <w:t>.</w:t>
      </w:r>
    </w:p>
    <w:p w14:paraId="41814A76" w14:textId="77777777" w:rsidR="00676BAE" w:rsidRDefault="00676BAE" w:rsidP="00E0362A">
      <w:pPr>
        <w:jc w:val="both"/>
        <w:rPr>
          <w:rFonts w:cstheme="minorHAnsi"/>
        </w:rPr>
      </w:pPr>
    </w:p>
    <w:p w14:paraId="57328B1C" w14:textId="1628E851" w:rsidR="007415FD" w:rsidRDefault="00676BAE" w:rsidP="00E0362A">
      <w:pPr>
        <w:jc w:val="both"/>
        <w:rPr>
          <w:rFonts w:cstheme="minorHAnsi"/>
        </w:rPr>
      </w:pPr>
      <w:r w:rsidRPr="00B4163E">
        <w:rPr>
          <w:rFonts w:cstheme="minorHAnsi"/>
        </w:rPr>
        <w:t>Le</w:t>
      </w:r>
      <w:r w:rsidR="008E3F27" w:rsidRPr="00B4163E">
        <w:rPr>
          <w:rFonts w:cstheme="minorHAnsi"/>
        </w:rPr>
        <w:t>s</w:t>
      </w:r>
      <w:r w:rsidRPr="00B4163E">
        <w:rPr>
          <w:rFonts w:cstheme="minorHAnsi"/>
        </w:rPr>
        <w:t xml:space="preserve"> Tableau</w:t>
      </w:r>
      <w:r w:rsidR="008E3F27" w:rsidRPr="00B4163E">
        <w:rPr>
          <w:rFonts w:cstheme="minorHAnsi"/>
        </w:rPr>
        <w:t>x ci-dessous reprennent</w:t>
      </w:r>
      <w:r w:rsidRPr="00B4163E">
        <w:rPr>
          <w:rFonts w:cstheme="minorHAnsi"/>
        </w:rPr>
        <w:t xml:space="preserve"> une estimation </w:t>
      </w:r>
      <w:r w:rsidR="008E3F27" w:rsidRPr="00B4163E">
        <w:rPr>
          <w:rFonts w:cstheme="minorHAnsi"/>
        </w:rPr>
        <w:t>(</w:t>
      </w:r>
      <w:r w:rsidR="008E3F27" w:rsidRPr="00B4163E">
        <w:rPr>
          <w:rFonts w:cstheme="minorHAnsi"/>
          <w:u w:val="single"/>
        </w:rPr>
        <w:t>non encore consolidé et compl</w:t>
      </w:r>
      <w:r w:rsidR="00B4163E" w:rsidRPr="00B4163E">
        <w:rPr>
          <w:rFonts w:cstheme="minorHAnsi"/>
          <w:u w:val="single"/>
        </w:rPr>
        <w:t>ète</w:t>
      </w:r>
      <w:r w:rsidR="00CE5D47" w:rsidRPr="00B4163E">
        <w:rPr>
          <w:rFonts w:cstheme="minorHAnsi"/>
          <w:u w:val="single"/>
        </w:rPr>
        <w:t xml:space="preserve"> au 31/10/2019</w:t>
      </w:r>
      <w:r w:rsidR="008E3F27" w:rsidRPr="00B4163E">
        <w:rPr>
          <w:rFonts w:cstheme="minorHAnsi"/>
        </w:rPr>
        <w:t xml:space="preserve">) </w:t>
      </w:r>
      <w:r w:rsidRPr="00B4163E">
        <w:rPr>
          <w:rFonts w:cstheme="minorHAnsi"/>
        </w:rPr>
        <w:t>du « </w:t>
      </w:r>
      <w:r w:rsidR="007415FD" w:rsidRPr="00B4163E">
        <w:rPr>
          <w:rFonts w:cstheme="minorHAnsi"/>
        </w:rPr>
        <w:t>Manpower</w:t>
      </w:r>
      <w:r w:rsidRPr="00B4163E">
        <w:rPr>
          <w:rFonts w:cstheme="minorHAnsi"/>
        </w:rPr>
        <w:t> »</w:t>
      </w:r>
      <w:r w:rsidR="001F350A" w:rsidRPr="00B4163E">
        <w:rPr>
          <w:rFonts w:cstheme="minorHAnsi"/>
        </w:rPr>
        <w:t xml:space="preserve"> (en 2019)</w:t>
      </w:r>
      <w:r w:rsidRPr="00B4163E">
        <w:rPr>
          <w:rFonts w:cstheme="minorHAnsi"/>
        </w:rPr>
        <w:t xml:space="preserve"> et du </w:t>
      </w:r>
      <w:r w:rsidR="007415FD" w:rsidRPr="00B4163E">
        <w:rPr>
          <w:rFonts w:cstheme="minorHAnsi"/>
        </w:rPr>
        <w:t>budget </w:t>
      </w:r>
      <w:r w:rsidRPr="00B4163E">
        <w:rPr>
          <w:rFonts w:cstheme="minorHAnsi"/>
        </w:rPr>
        <w:t xml:space="preserve">acquis </w:t>
      </w:r>
      <w:r w:rsidR="00453870" w:rsidRPr="00B4163E">
        <w:rPr>
          <w:rFonts w:cstheme="minorHAnsi"/>
        </w:rPr>
        <w:t xml:space="preserve">(en noir) </w:t>
      </w:r>
      <w:r w:rsidRPr="00B4163E">
        <w:rPr>
          <w:rFonts w:cstheme="minorHAnsi"/>
        </w:rPr>
        <w:t>ou en cours d’acquis</w:t>
      </w:r>
      <w:r w:rsidR="00EE3218" w:rsidRPr="00B4163E">
        <w:rPr>
          <w:rFonts w:cstheme="minorHAnsi"/>
        </w:rPr>
        <w:t>i</w:t>
      </w:r>
      <w:r w:rsidRPr="00B4163E">
        <w:rPr>
          <w:rFonts w:cstheme="minorHAnsi"/>
        </w:rPr>
        <w:t>tion</w:t>
      </w:r>
      <w:r w:rsidR="00453870">
        <w:rPr>
          <w:rFonts w:cstheme="minorHAnsi"/>
        </w:rPr>
        <w:t xml:space="preserve"> (en rouge)</w:t>
      </w:r>
      <w:r w:rsidR="007D7954">
        <w:rPr>
          <w:rFonts w:cstheme="minorHAnsi"/>
        </w:rPr>
        <w:t xml:space="preserve"> ; ce budget </w:t>
      </w:r>
      <w:r w:rsidR="00453870">
        <w:rPr>
          <w:rFonts w:cstheme="minorHAnsi"/>
        </w:rPr>
        <w:t>n’</w:t>
      </w:r>
      <w:r w:rsidR="007D7954">
        <w:rPr>
          <w:rFonts w:cstheme="minorHAnsi"/>
        </w:rPr>
        <w:t xml:space="preserve">inclue </w:t>
      </w:r>
      <w:r w:rsidR="00453870">
        <w:rPr>
          <w:rFonts w:cstheme="minorHAnsi"/>
        </w:rPr>
        <w:t>pas la part de financement attribué</w:t>
      </w:r>
      <w:r w:rsidR="007D7954">
        <w:rPr>
          <w:rFonts w:cstheme="minorHAnsi"/>
        </w:rPr>
        <w:t>e</w:t>
      </w:r>
      <w:r w:rsidR="00453870">
        <w:rPr>
          <w:rFonts w:cstheme="minorHAnsi"/>
        </w:rPr>
        <w:t xml:space="preserve"> </w:t>
      </w:r>
      <w:r w:rsidR="007D7954">
        <w:rPr>
          <w:rFonts w:cstheme="minorHAnsi"/>
        </w:rPr>
        <w:t xml:space="preserve">directement </w:t>
      </w:r>
      <w:r w:rsidR="00453870">
        <w:rPr>
          <w:rFonts w:cstheme="minorHAnsi"/>
        </w:rPr>
        <w:t>aux or</w:t>
      </w:r>
      <w:r w:rsidR="008E3F27">
        <w:rPr>
          <w:rFonts w:cstheme="minorHAnsi"/>
        </w:rPr>
        <w:t>ganismes type BRGM, IRSN et CEA</w:t>
      </w:r>
      <w:r w:rsidR="00B4163E">
        <w:rPr>
          <w:rFonts w:cstheme="minorHAnsi"/>
        </w:rPr>
        <w:t>.</w:t>
      </w:r>
    </w:p>
    <w:p w14:paraId="3A652D70" w14:textId="77777777" w:rsidR="00B4163E" w:rsidRDefault="00B4163E" w:rsidP="00E0362A">
      <w:pPr>
        <w:jc w:val="both"/>
        <w:rPr>
          <w:rFonts w:cstheme="minorHAnsi"/>
        </w:rPr>
      </w:pPr>
    </w:p>
    <w:p w14:paraId="7A00652D" w14:textId="1A5A20FC" w:rsidR="00EA38DB" w:rsidRDefault="00A62874" w:rsidP="00E0362A">
      <w:pPr>
        <w:jc w:val="both"/>
        <w:rPr>
          <w:rFonts w:cstheme="minorHAnsi"/>
          <w:b/>
          <w:color w:val="0070C0"/>
        </w:rPr>
      </w:pPr>
      <w:r w:rsidRPr="00A62874">
        <w:rPr>
          <w:rFonts w:cstheme="minorHAnsi"/>
          <w:b/>
          <w:color w:val="0070C0"/>
        </w:rPr>
        <w:t>Tableau 1a : Bud</w:t>
      </w:r>
      <w:r w:rsidR="00B4163E">
        <w:rPr>
          <w:rFonts w:cstheme="minorHAnsi"/>
          <w:b/>
          <w:color w:val="0070C0"/>
        </w:rPr>
        <w:t>g</w:t>
      </w:r>
      <w:r w:rsidRPr="00A62874">
        <w:rPr>
          <w:rFonts w:cstheme="minorHAnsi"/>
          <w:b/>
          <w:color w:val="0070C0"/>
        </w:rPr>
        <w:t xml:space="preserve">et </w:t>
      </w:r>
      <w:r w:rsidR="00B4163E">
        <w:rPr>
          <w:rFonts w:cstheme="minorHAnsi"/>
          <w:b/>
          <w:color w:val="0070C0"/>
        </w:rPr>
        <w:t xml:space="preserve">non définitif </w:t>
      </w:r>
      <w:r w:rsidRPr="00A62874">
        <w:rPr>
          <w:rFonts w:cstheme="minorHAnsi"/>
          <w:b/>
          <w:color w:val="0070C0"/>
        </w:rPr>
        <w:t>acquis (en noir) en 2019 ou en cours d’acquisition (en rouge)</w:t>
      </w:r>
    </w:p>
    <w:p w14:paraId="4E6A48B0" w14:textId="595C93B1" w:rsidR="00B4163E" w:rsidRDefault="00B4163E" w:rsidP="00E0362A">
      <w:pPr>
        <w:jc w:val="both"/>
        <w:rPr>
          <w:rFonts w:cstheme="minorHAnsi"/>
          <w:b/>
          <w:color w:val="0070C0"/>
        </w:rPr>
      </w:pP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09"/>
        <w:gridCol w:w="1300"/>
        <w:gridCol w:w="1185"/>
        <w:gridCol w:w="1628"/>
        <w:gridCol w:w="1320"/>
        <w:gridCol w:w="1395"/>
        <w:gridCol w:w="1221"/>
      </w:tblGrid>
      <w:tr w:rsidR="00B4163E" w:rsidRPr="00B4163E" w14:paraId="5E1B8260" w14:textId="77777777" w:rsidTr="00B4163E">
        <w:trPr>
          <w:trHeight w:val="588"/>
        </w:trPr>
        <w:tc>
          <w:tcPr>
            <w:tcW w:w="1809" w:type="dxa"/>
            <w:shd w:val="clear" w:color="auto" w:fill="auto"/>
            <w:vAlign w:val="center"/>
            <w:hideMark/>
          </w:tcPr>
          <w:p w14:paraId="21D8E546"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 xml:space="preserve">Ressources « locales »: Région, Agglo, … </w:t>
            </w:r>
          </w:p>
        </w:tc>
        <w:tc>
          <w:tcPr>
            <w:tcW w:w="1300" w:type="dxa"/>
            <w:shd w:val="clear" w:color="auto" w:fill="auto"/>
            <w:vAlign w:val="center"/>
            <w:hideMark/>
          </w:tcPr>
          <w:p w14:paraId="18E07683"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 xml:space="preserve">Master Projet (IN2P3) </w:t>
            </w:r>
            <w:r w:rsidRPr="00B4163E">
              <w:rPr>
                <w:rFonts w:ascii="Calibri" w:eastAsia="Times New Roman" w:hAnsi="Calibri" w:cs="Times New Roman"/>
                <w:b/>
                <w:bCs/>
                <w:i/>
                <w:iCs/>
                <w:color w:val="000000"/>
                <w:sz w:val="22"/>
                <w:szCs w:val="22"/>
                <w:lang w:eastAsia="fr-FR"/>
              </w:rPr>
              <w:br/>
              <w:t>« RNs et Biosphère »</w:t>
            </w:r>
          </w:p>
        </w:tc>
        <w:tc>
          <w:tcPr>
            <w:tcW w:w="1185" w:type="dxa"/>
            <w:shd w:val="clear" w:color="auto" w:fill="auto"/>
            <w:vAlign w:val="center"/>
            <w:hideMark/>
          </w:tcPr>
          <w:p w14:paraId="762F4F63"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AP CNRS</w:t>
            </w:r>
          </w:p>
        </w:tc>
        <w:tc>
          <w:tcPr>
            <w:tcW w:w="1628" w:type="dxa"/>
            <w:shd w:val="clear" w:color="auto" w:fill="auto"/>
            <w:vAlign w:val="center"/>
            <w:hideMark/>
          </w:tcPr>
          <w:p w14:paraId="100573F7"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Fonctionnement ZATU</w:t>
            </w:r>
          </w:p>
        </w:tc>
        <w:tc>
          <w:tcPr>
            <w:tcW w:w="1320" w:type="dxa"/>
            <w:shd w:val="clear" w:color="auto" w:fill="auto"/>
            <w:vAlign w:val="center"/>
            <w:hideMark/>
          </w:tcPr>
          <w:p w14:paraId="3C3E8CE5"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ANR</w:t>
            </w:r>
          </w:p>
        </w:tc>
        <w:tc>
          <w:tcPr>
            <w:tcW w:w="1395" w:type="dxa"/>
            <w:shd w:val="clear" w:color="auto" w:fill="auto"/>
            <w:vAlign w:val="center"/>
            <w:hideMark/>
          </w:tcPr>
          <w:p w14:paraId="46AFEF94"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Financement européen</w:t>
            </w:r>
          </w:p>
        </w:tc>
        <w:tc>
          <w:tcPr>
            <w:tcW w:w="1221" w:type="dxa"/>
            <w:shd w:val="clear" w:color="auto" w:fill="auto"/>
            <w:vAlign w:val="center"/>
            <w:hideMark/>
          </w:tcPr>
          <w:p w14:paraId="6686D80E" w14:textId="77777777" w:rsidR="00B4163E" w:rsidRPr="00B4163E" w:rsidRDefault="00B4163E" w:rsidP="00B4163E">
            <w:pPr>
              <w:jc w:val="center"/>
              <w:rPr>
                <w:rFonts w:ascii="Calibri" w:eastAsia="Times New Roman" w:hAnsi="Calibri" w:cs="Times New Roman"/>
                <w:b/>
                <w:bCs/>
                <w:i/>
                <w:iCs/>
                <w:color w:val="000000"/>
                <w:sz w:val="22"/>
                <w:szCs w:val="22"/>
                <w:lang w:eastAsia="fr-FR"/>
              </w:rPr>
            </w:pPr>
            <w:r w:rsidRPr="00B4163E">
              <w:rPr>
                <w:rFonts w:ascii="Calibri" w:eastAsia="Times New Roman" w:hAnsi="Calibri" w:cs="Times New Roman"/>
                <w:b/>
                <w:bCs/>
                <w:i/>
                <w:iCs/>
                <w:color w:val="000000"/>
                <w:sz w:val="22"/>
                <w:szCs w:val="22"/>
                <w:lang w:eastAsia="fr-FR"/>
              </w:rPr>
              <w:t>Autre</w:t>
            </w:r>
          </w:p>
        </w:tc>
      </w:tr>
      <w:tr w:rsidR="00B4163E" w:rsidRPr="00B4163E" w14:paraId="6880B1EF" w14:textId="77777777" w:rsidTr="00B4163E">
        <w:trPr>
          <w:trHeight w:val="576"/>
        </w:trPr>
        <w:tc>
          <w:tcPr>
            <w:tcW w:w="1809" w:type="dxa"/>
            <w:shd w:val="clear" w:color="auto" w:fill="auto"/>
            <w:vAlign w:val="center"/>
            <w:hideMark/>
          </w:tcPr>
          <w:p w14:paraId="60658F4A" w14:textId="77777777" w:rsidR="00B4163E" w:rsidRPr="00B4163E" w:rsidRDefault="00B4163E" w:rsidP="00B4163E">
            <w:pPr>
              <w:jc w:val="both"/>
              <w:rPr>
                <w:rFonts w:ascii="Calibri" w:eastAsia="Times New Roman" w:hAnsi="Calibri" w:cs="Times New Roman"/>
                <w:color w:val="0070C0"/>
                <w:sz w:val="22"/>
                <w:szCs w:val="22"/>
                <w:lang w:eastAsia="fr-FR"/>
              </w:rPr>
            </w:pPr>
            <w:r w:rsidRPr="00B4163E">
              <w:rPr>
                <w:rFonts w:ascii="Calibri" w:eastAsia="Times New Roman" w:hAnsi="Calibri" w:cs="Times New Roman"/>
                <w:color w:val="000000" w:themeColor="text1"/>
                <w:sz w:val="22"/>
                <w:szCs w:val="22"/>
                <w:lang w:eastAsia="fr-FR"/>
              </w:rPr>
              <w:t xml:space="preserve">CPER Subatech </w:t>
            </w:r>
            <w:r w:rsidRPr="00B4163E">
              <w:rPr>
                <w:rFonts w:ascii="Calibri" w:eastAsia="Times New Roman" w:hAnsi="Calibri" w:cs="Times New Roman"/>
                <w:color w:val="FF0000"/>
                <w:sz w:val="22"/>
                <w:szCs w:val="22"/>
                <w:lang w:eastAsia="fr-FR"/>
              </w:rPr>
              <w:t>2 demandes de bourses de thèse</w:t>
            </w:r>
          </w:p>
        </w:tc>
        <w:tc>
          <w:tcPr>
            <w:tcW w:w="1300" w:type="dxa"/>
            <w:shd w:val="clear" w:color="auto" w:fill="auto"/>
            <w:vAlign w:val="center"/>
            <w:hideMark/>
          </w:tcPr>
          <w:p w14:paraId="3336F1BC" w14:textId="77777777" w:rsidR="00B4163E" w:rsidRPr="00B4163E" w:rsidRDefault="00B4163E" w:rsidP="00B4163E">
            <w:pPr>
              <w:jc w:val="both"/>
              <w:rPr>
                <w:rFonts w:ascii="Calibri" w:eastAsia="Times New Roman" w:hAnsi="Calibri" w:cs="Times New Roman"/>
                <w:color w:val="000000" w:themeColor="text1"/>
                <w:sz w:val="22"/>
                <w:szCs w:val="22"/>
                <w:lang w:eastAsia="fr-FR"/>
              </w:rPr>
            </w:pPr>
            <w:r w:rsidRPr="00B4163E">
              <w:rPr>
                <w:rFonts w:ascii="Calibri" w:eastAsia="Times New Roman" w:hAnsi="Calibri" w:cs="Times New Roman"/>
                <w:color w:val="000000" w:themeColor="text1"/>
                <w:sz w:val="22"/>
                <w:szCs w:val="22"/>
                <w:lang w:eastAsia="fr-FR"/>
              </w:rPr>
              <w:t xml:space="preserve">2019 : 16k€ </w:t>
            </w:r>
          </w:p>
        </w:tc>
        <w:tc>
          <w:tcPr>
            <w:tcW w:w="1185" w:type="dxa"/>
            <w:shd w:val="clear" w:color="auto" w:fill="auto"/>
            <w:vAlign w:val="center"/>
            <w:hideMark/>
          </w:tcPr>
          <w:p w14:paraId="5DE489B2" w14:textId="77777777" w:rsidR="00B4163E" w:rsidRPr="00B4163E" w:rsidRDefault="00B4163E" w:rsidP="00B4163E">
            <w:pPr>
              <w:jc w:val="both"/>
              <w:rPr>
                <w:rFonts w:ascii="Calibri" w:eastAsia="Times New Roman" w:hAnsi="Calibri" w:cs="Times New Roman"/>
                <w:color w:val="000000" w:themeColor="text1"/>
                <w:sz w:val="22"/>
                <w:szCs w:val="22"/>
                <w:lang w:eastAsia="fr-FR"/>
              </w:rPr>
            </w:pPr>
            <w:r w:rsidRPr="00B4163E">
              <w:rPr>
                <w:rFonts w:ascii="Calibri" w:eastAsia="Times New Roman" w:hAnsi="Calibri" w:cs="Times New Roman"/>
                <w:color w:val="000000" w:themeColor="text1"/>
                <w:sz w:val="22"/>
                <w:szCs w:val="22"/>
                <w:lang w:eastAsia="fr-FR"/>
              </w:rPr>
              <w:t>Prime 80 (2019): 1 thèse + 10k€ / an</w:t>
            </w:r>
          </w:p>
        </w:tc>
        <w:tc>
          <w:tcPr>
            <w:tcW w:w="1628" w:type="dxa"/>
            <w:shd w:val="clear" w:color="auto" w:fill="auto"/>
            <w:vAlign w:val="center"/>
            <w:hideMark/>
          </w:tcPr>
          <w:p w14:paraId="238347AF" w14:textId="77777777" w:rsidR="00B4163E" w:rsidRPr="00B4163E" w:rsidRDefault="00B4163E" w:rsidP="00B4163E">
            <w:pPr>
              <w:jc w:val="both"/>
              <w:rPr>
                <w:rFonts w:ascii="Calibri" w:eastAsia="Times New Roman" w:hAnsi="Calibri" w:cs="Times New Roman"/>
                <w:color w:val="000000" w:themeColor="text1"/>
                <w:sz w:val="22"/>
                <w:szCs w:val="22"/>
                <w:lang w:eastAsia="fr-FR"/>
              </w:rPr>
            </w:pPr>
            <w:r w:rsidRPr="00B4163E">
              <w:rPr>
                <w:rFonts w:ascii="Calibri" w:eastAsia="Times New Roman" w:hAnsi="Calibri" w:cs="Times New Roman"/>
                <w:color w:val="000000" w:themeColor="text1"/>
                <w:sz w:val="22"/>
                <w:szCs w:val="22"/>
                <w:lang w:eastAsia="fr-FR"/>
              </w:rPr>
              <w:t xml:space="preserve">2019: 25 k€ </w:t>
            </w:r>
          </w:p>
        </w:tc>
        <w:tc>
          <w:tcPr>
            <w:tcW w:w="1320" w:type="dxa"/>
            <w:shd w:val="clear" w:color="auto" w:fill="auto"/>
            <w:vAlign w:val="center"/>
            <w:hideMark/>
          </w:tcPr>
          <w:p w14:paraId="7E61CC21" w14:textId="77777777" w:rsidR="00B4163E" w:rsidRPr="00B4163E" w:rsidRDefault="00B4163E" w:rsidP="00B4163E">
            <w:pPr>
              <w:jc w:val="both"/>
              <w:rPr>
                <w:rFonts w:ascii="Calibri" w:eastAsia="Times New Roman" w:hAnsi="Calibri" w:cs="Times New Roman"/>
                <w:color w:val="000000" w:themeColor="text1"/>
                <w:sz w:val="22"/>
                <w:szCs w:val="22"/>
                <w:lang w:eastAsia="fr-FR"/>
              </w:rPr>
            </w:pPr>
            <w:r w:rsidRPr="00B4163E">
              <w:rPr>
                <w:rFonts w:ascii="Calibri" w:eastAsia="Times New Roman" w:hAnsi="Calibri" w:cs="Times New Roman"/>
                <w:color w:val="000000" w:themeColor="text1"/>
                <w:sz w:val="22"/>
                <w:szCs w:val="22"/>
                <w:lang w:eastAsia="fr-FR"/>
              </w:rPr>
              <w:t>Dépot du LabCom “TESMARAC”</w:t>
            </w:r>
          </w:p>
        </w:tc>
        <w:tc>
          <w:tcPr>
            <w:tcW w:w="1395" w:type="dxa"/>
            <w:shd w:val="clear" w:color="auto" w:fill="auto"/>
            <w:vAlign w:val="center"/>
            <w:hideMark/>
          </w:tcPr>
          <w:p w14:paraId="08E0F9BD" w14:textId="77777777" w:rsidR="00B4163E" w:rsidRPr="00B4163E" w:rsidRDefault="00B4163E" w:rsidP="00B4163E">
            <w:pPr>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 xml:space="preserve">Radonorm (AP Euratom) </w:t>
            </w:r>
          </w:p>
        </w:tc>
        <w:tc>
          <w:tcPr>
            <w:tcW w:w="1221" w:type="dxa"/>
            <w:shd w:val="clear" w:color="auto" w:fill="auto"/>
            <w:vAlign w:val="center"/>
            <w:hideMark/>
          </w:tcPr>
          <w:p w14:paraId="39D982EE" w14:textId="77777777" w:rsidR="00B4163E" w:rsidRPr="00B4163E" w:rsidRDefault="00B4163E" w:rsidP="00B4163E">
            <w:pPr>
              <w:rPr>
                <w:rFonts w:ascii="Calibri" w:eastAsia="Times New Roman" w:hAnsi="Calibri" w:cs="Times New Roman"/>
                <w:color w:val="000000" w:themeColor="text1"/>
                <w:sz w:val="22"/>
                <w:szCs w:val="22"/>
                <w:lang w:val="en-US" w:eastAsia="fr-FR"/>
              </w:rPr>
            </w:pPr>
            <w:r w:rsidRPr="00B4163E">
              <w:rPr>
                <w:rFonts w:ascii="Calibri" w:eastAsia="Times New Roman" w:hAnsi="Calibri" w:cs="Times New Roman"/>
                <w:color w:val="000000" w:themeColor="text1"/>
                <w:sz w:val="22"/>
                <w:szCs w:val="22"/>
                <w:lang w:val="en-US" w:eastAsia="fr-FR"/>
              </w:rPr>
              <w:t xml:space="preserve">  Carnot-Telecom (IMT-A SSG) : 1 post doc (12 mois 2019)</w:t>
            </w:r>
          </w:p>
        </w:tc>
      </w:tr>
      <w:tr w:rsidR="00B4163E" w:rsidRPr="00B4163E" w14:paraId="0F784E36" w14:textId="77777777" w:rsidTr="00B4163E">
        <w:trPr>
          <w:trHeight w:val="576"/>
        </w:trPr>
        <w:tc>
          <w:tcPr>
            <w:tcW w:w="1809" w:type="dxa"/>
            <w:shd w:val="clear" w:color="auto" w:fill="auto"/>
            <w:vAlign w:val="center"/>
            <w:hideMark/>
          </w:tcPr>
          <w:p w14:paraId="2C3716FC" w14:textId="77777777" w:rsidR="00B4163E" w:rsidRPr="00B4163E" w:rsidRDefault="00B4163E" w:rsidP="00B4163E">
            <w:pPr>
              <w:jc w:val="both"/>
              <w:rPr>
                <w:rFonts w:ascii="Calibri" w:eastAsia="Times New Roman" w:hAnsi="Calibri" w:cs="Times New Roman"/>
                <w:color w:val="FF0000"/>
                <w:sz w:val="22"/>
                <w:szCs w:val="22"/>
                <w:lang w:eastAsia="fr-FR"/>
              </w:rPr>
            </w:pPr>
            <w:r w:rsidRPr="00B4163E">
              <w:rPr>
                <w:rFonts w:ascii="Calibri" w:eastAsia="Times New Roman" w:hAnsi="Calibri" w:cs="Times New Roman"/>
                <w:color w:val="000000" w:themeColor="text1"/>
                <w:sz w:val="22"/>
                <w:szCs w:val="22"/>
                <w:lang w:eastAsia="fr-FR"/>
              </w:rPr>
              <w:t xml:space="preserve">CPER LPC </w:t>
            </w:r>
            <w:r w:rsidRPr="00B4163E">
              <w:rPr>
                <w:rFonts w:ascii="Calibri" w:eastAsia="Times New Roman" w:hAnsi="Calibri" w:cs="Times New Roman"/>
                <w:color w:val="FF0000"/>
                <w:sz w:val="22"/>
                <w:szCs w:val="22"/>
                <w:lang w:eastAsia="fr-FR"/>
              </w:rPr>
              <w:t>15k€/an</w:t>
            </w:r>
          </w:p>
        </w:tc>
        <w:tc>
          <w:tcPr>
            <w:tcW w:w="1300" w:type="dxa"/>
            <w:shd w:val="clear" w:color="auto" w:fill="auto"/>
            <w:vAlign w:val="center"/>
            <w:hideMark/>
          </w:tcPr>
          <w:p w14:paraId="5879905F" w14:textId="77777777" w:rsidR="00B4163E" w:rsidRPr="00B4163E" w:rsidRDefault="00B4163E" w:rsidP="00B4163E">
            <w:pPr>
              <w:jc w:val="both"/>
              <w:rPr>
                <w:rFonts w:ascii="Calibri" w:eastAsia="Times New Roman" w:hAnsi="Calibri" w:cs="Times New Roman"/>
                <w:color w:val="0070C0"/>
                <w:sz w:val="22"/>
                <w:szCs w:val="22"/>
                <w:lang w:eastAsia="fr-FR"/>
              </w:rPr>
            </w:pPr>
            <w:r w:rsidRPr="00B4163E">
              <w:rPr>
                <w:rFonts w:ascii="Calibri" w:eastAsia="Times New Roman" w:hAnsi="Calibri" w:cs="Times New Roman"/>
                <w:color w:val="FF0000"/>
                <w:sz w:val="22"/>
                <w:szCs w:val="22"/>
                <w:lang w:eastAsia="fr-FR"/>
              </w:rPr>
              <w:t>2020-2023 :</w:t>
            </w:r>
            <w:r w:rsidRPr="00B4163E">
              <w:rPr>
                <w:rFonts w:ascii="Calibri" w:eastAsia="Times New Roman" w:hAnsi="Calibri" w:cs="Times New Roman"/>
                <w:color w:val="0070C0"/>
                <w:sz w:val="22"/>
                <w:szCs w:val="22"/>
                <w:lang w:eastAsia="fr-FR"/>
              </w:rPr>
              <w:t xml:space="preserve"> </w:t>
            </w:r>
            <w:r w:rsidRPr="00B4163E">
              <w:rPr>
                <w:rFonts w:ascii="Calibri" w:eastAsia="Times New Roman" w:hAnsi="Calibri" w:cs="Times New Roman"/>
                <w:color w:val="FF0000"/>
                <w:sz w:val="22"/>
                <w:szCs w:val="22"/>
                <w:lang w:eastAsia="fr-FR"/>
              </w:rPr>
              <w:t xml:space="preserve">demande de ~ k(€)/ an </w:t>
            </w:r>
          </w:p>
        </w:tc>
        <w:tc>
          <w:tcPr>
            <w:tcW w:w="1185" w:type="dxa"/>
            <w:shd w:val="clear" w:color="auto" w:fill="auto"/>
            <w:vAlign w:val="center"/>
            <w:hideMark/>
          </w:tcPr>
          <w:p w14:paraId="4AA469A6" w14:textId="77777777" w:rsidR="00B4163E" w:rsidRPr="00B4163E" w:rsidRDefault="00B4163E" w:rsidP="00B4163E">
            <w:pPr>
              <w:jc w:val="both"/>
              <w:rPr>
                <w:rFonts w:ascii="Calibri" w:eastAsia="Times New Roman" w:hAnsi="Calibri" w:cs="Times New Roman"/>
                <w:color w:val="000000" w:themeColor="text1"/>
                <w:sz w:val="22"/>
                <w:szCs w:val="22"/>
                <w:lang w:val="en-US" w:eastAsia="fr-FR"/>
              </w:rPr>
            </w:pPr>
            <w:r w:rsidRPr="00B4163E">
              <w:rPr>
                <w:rFonts w:ascii="Calibri" w:eastAsia="Times New Roman" w:hAnsi="Calibri" w:cs="Times New Roman"/>
                <w:color w:val="000000" w:themeColor="text1"/>
                <w:sz w:val="22"/>
                <w:szCs w:val="22"/>
                <w:lang w:val="en-US" w:eastAsia="fr-FR"/>
              </w:rPr>
              <w:t>DISCOVER (NEEDS 2019) : 1 thèse + 10 k€ / an</w:t>
            </w:r>
          </w:p>
        </w:tc>
        <w:tc>
          <w:tcPr>
            <w:tcW w:w="1628" w:type="dxa"/>
            <w:shd w:val="clear" w:color="auto" w:fill="auto"/>
            <w:vAlign w:val="center"/>
            <w:hideMark/>
          </w:tcPr>
          <w:p w14:paraId="2075D6AE" w14:textId="77777777" w:rsidR="00B4163E" w:rsidRPr="00B4163E" w:rsidRDefault="00B4163E" w:rsidP="00B4163E">
            <w:pPr>
              <w:jc w:val="both"/>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 xml:space="preserve">2019-2023: 60 k€ </w:t>
            </w:r>
          </w:p>
        </w:tc>
        <w:tc>
          <w:tcPr>
            <w:tcW w:w="1320" w:type="dxa"/>
            <w:shd w:val="clear" w:color="auto" w:fill="auto"/>
            <w:vAlign w:val="center"/>
            <w:hideMark/>
          </w:tcPr>
          <w:p w14:paraId="63B98EBA" w14:textId="77777777" w:rsidR="00B4163E" w:rsidRPr="00B4163E" w:rsidRDefault="00B4163E" w:rsidP="00B4163E">
            <w:pPr>
              <w:jc w:val="both"/>
              <w:rPr>
                <w:rFonts w:ascii="Calibri" w:eastAsia="Times New Roman" w:hAnsi="Calibri" w:cs="Times New Roman"/>
                <w:color w:val="0070C0"/>
                <w:sz w:val="22"/>
                <w:szCs w:val="22"/>
                <w:lang w:eastAsia="fr-FR"/>
              </w:rPr>
            </w:pPr>
            <w:r w:rsidRPr="00B4163E">
              <w:rPr>
                <w:rFonts w:ascii="Calibri" w:eastAsia="Times New Roman" w:hAnsi="Calibri" w:cs="Times New Roman"/>
                <w:color w:val="0070C0"/>
                <w:sz w:val="22"/>
                <w:szCs w:val="22"/>
                <w:lang w:eastAsia="fr-FR"/>
              </w:rPr>
              <w:t xml:space="preserve"> </w:t>
            </w:r>
          </w:p>
        </w:tc>
        <w:tc>
          <w:tcPr>
            <w:tcW w:w="1395" w:type="dxa"/>
            <w:shd w:val="clear" w:color="auto" w:fill="auto"/>
            <w:vAlign w:val="center"/>
            <w:hideMark/>
          </w:tcPr>
          <w:p w14:paraId="60A55447" w14:textId="77777777" w:rsidR="00B4163E" w:rsidRPr="00B4163E" w:rsidRDefault="00B4163E" w:rsidP="00B4163E">
            <w:pPr>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LMGE/GEOLAB : 1 stagiaire M2 Erasmus+</w:t>
            </w:r>
          </w:p>
        </w:tc>
        <w:tc>
          <w:tcPr>
            <w:tcW w:w="1221" w:type="dxa"/>
            <w:shd w:val="clear" w:color="auto" w:fill="auto"/>
            <w:vAlign w:val="center"/>
            <w:hideMark/>
          </w:tcPr>
          <w:p w14:paraId="419F1869" w14:textId="77777777" w:rsidR="00B4163E" w:rsidRPr="00B4163E" w:rsidRDefault="00B4163E" w:rsidP="00B4163E">
            <w:pPr>
              <w:rPr>
                <w:rFonts w:ascii="Calibri" w:eastAsia="Times New Roman" w:hAnsi="Calibri" w:cs="Times New Roman"/>
                <w:color w:val="000000" w:themeColor="text1"/>
                <w:sz w:val="22"/>
                <w:szCs w:val="22"/>
                <w:lang w:eastAsia="fr-FR"/>
              </w:rPr>
            </w:pPr>
            <w:r w:rsidRPr="00B4163E">
              <w:rPr>
                <w:rFonts w:ascii="Calibri" w:eastAsia="Times New Roman" w:hAnsi="Calibri" w:cs="Times New Roman"/>
                <w:color w:val="000000" w:themeColor="text1"/>
                <w:sz w:val="22"/>
                <w:szCs w:val="22"/>
                <w:lang w:eastAsia="fr-FR"/>
              </w:rPr>
              <w:t xml:space="preserve">MESRI Univ Bdx (CENGB, LMGE) : 1 thèse </w:t>
            </w:r>
          </w:p>
        </w:tc>
      </w:tr>
      <w:tr w:rsidR="00B4163E" w:rsidRPr="00B4163E" w14:paraId="1433214E" w14:textId="77777777" w:rsidTr="00B4163E">
        <w:trPr>
          <w:trHeight w:val="576"/>
        </w:trPr>
        <w:tc>
          <w:tcPr>
            <w:tcW w:w="1809" w:type="dxa"/>
            <w:shd w:val="clear" w:color="auto" w:fill="auto"/>
            <w:hideMark/>
          </w:tcPr>
          <w:p w14:paraId="155D2DD5" w14:textId="77777777" w:rsidR="00B4163E" w:rsidRPr="00B4163E" w:rsidRDefault="00B4163E" w:rsidP="00B4163E">
            <w:pPr>
              <w:rPr>
                <w:rFonts w:ascii="Calibri" w:eastAsia="Times New Roman" w:hAnsi="Calibri" w:cs="Times New Roman"/>
                <w:color w:val="00B0F0"/>
                <w:sz w:val="22"/>
                <w:szCs w:val="22"/>
                <w:lang w:eastAsia="fr-FR"/>
              </w:rPr>
            </w:pPr>
            <w:r w:rsidRPr="00B4163E">
              <w:rPr>
                <w:rFonts w:ascii="Calibri" w:eastAsia="Times New Roman" w:hAnsi="Calibri" w:cs="Times New Roman"/>
                <w:color w:val="000000" w:themeColor="text1"/>
                <w:sz w:val="22"/>
                <w:szCs w:val="22"/>
                <w:lang w:eastAsia="fr-FR"/>
              </w:rPr>
              <w:t xml:space="preserve">Clermont Communauté (GEOLAB, LPC) :  15 k€ </w:t>
            </w:r>
          </w:p>
        </w:tc>
        <w:tc>
          <w:tcPr>
            <w:tcW w:w="1300" w:type="dxa"/>
            <w:shd w:val="clear" w:color="auto" w:fill="auto"/>
            <w:hideMark/>
          </w:tcPr>
          <w:p w14:paraId="32B41168" w14:textId="77777777" w:rsidR="00B4163E" w:rsidRPr="00B4163E" w:rsidRDefault="00B4163E" w:rsidP="00B4163E">
            <w:pPr>
              <w:rPr>
                <w:rFonts w:ascii="Calibri" w:eastAsia="Times New Roman" w:hAnsi="Calibri" w:cs="Times New Roman"/>
                <w:color w:val="000000"/>
                <w:sz w:val="22"/>
                <w:szCs w:val="22"/>
                <w:lang w:eastAsia="fr-FR"/>
              </w:rPr>
            </w:pPr>
            <w:r w:rsidRPr="00B4163E">
              <w:rPr>
                <w:rFonts w:ascii="Calibri" w:eastAsia="Times New Roman" w:hAnsi="Calibri" w:cs="Times New Roman"/>
                <w:color w:val="000000"/>
                <w:sz w:val="22"/>
                <w:szCs w:val="22"/>
                <w:lang w:eastAsia="fr-FR"/>
              </w:rPr>
              <w:t> </w:t>
            </w:r>
          </w:p>
        </w:tc>
        <w:tc>
          <w:tcPr>
            <w:tcW w:w="1185" w:type="dxa"/>
            <w:shd w:val="clear" w:color="auto" w:fill="auto"/>
            <w:vAlign w:val="center"/>
            <w:hideMark/>
          </w:tcPr>
          <w:p w14:paraId="410C9221" w14:textId="77777777" w:rsidR="00B4163E" w:rsidRPr="00B4163E" w:rsidRDefault="00B4163E" w:rsidP="00B4163E">
            <w:pPr>
              <w:jc w:val="both"/>
              <w:rPr>
                <w:rFonts w:ascii="Calibri" w:eastAsia="Times New Roman" w:hAnsi="Calibri" w:cs="Times New Roman"/>
                <w:color w:val="FF0000"/>
                <w:sz w:val="22"/>
                <w:szCs w:val="22"/>
                <w:lang w:val="en-US" w:eastAsia="fr-FR"/>
              </w:rPr>
            </w:pPr>
            <w:r w:rsidRPr="00B4163E">
              <w:rPr>
                <w:rFonts w:ascii="Calibri" w:eastAsia="Times New Roman" w:hAnsi="Calibri" w:cs="Times New Roman"/>
                <w:color w:val="FF0000"/>
                <w:sz w:val="22"/>
                <w:szCs w:val="22"/>
                <w:lang w:val="en-US" w:eastAsia="fr-FR"/>
              </w:rPr>
              <w:t>EC2CO - COMMUN SOURCIER (LMGE, GEOLAB, LPC, SUBATECH, CENBG) : 44,9k€</w:t>
            </w:r>
          </w:p>
        </w:tc>
        <w:tc>
          <w:tcPr>
            <w:tcW w:w="1628" w:type="dxa"/>
            <w:shd w:val="clear" w:color="auto" w:fill="auto"/>
            <w:hideMark/>
          </w:tcPr>
          <w:p w14:paraId="1A4EE38B" w14:textId="77777777" w:rsidR="00B4163E" w:rsidRPr="00B4163E" w:rsidRDefault="00B4163E" w:rsidP="00B4163E">
            <w:pPr>
              <w:rPr>
                <w:rFonts w:ascii="Calibri" w:eastAsia="Times New Roman" w:hAnsi="Calibri" w:cs="Times New Roman"/>
                <w:color w:val="000000"/>
                <w:sz w:val="22"/>
                <w:szCs w:val="22"/>
                <w:lang w:val="en-US" w:eastAsia="fr-FR"/>
              </w:rPr>
            </w:pPr>
            <w:r w:rsidRPr="00B4163E">
              <w:rPr>
                <w:rFonts w:ascii="Calibri" w:eastAsia="Times New Roman" w:hAnsi="Calibri" w:cs="Times New Roman"/>
                <w:color w:val="000000"/>
                <w:sz w:val="22"/>
                <w:szCs w:val="22"/>
                <w:lang w:val="en-US" w:eastAsia="fr-FR"/>
              </w:rPr>
              <w:t> </w:t>
            </w:r>
          </w:p>
        </w:tc>
        <w:tc>
          <w:tcPr>
            <w:tcW w:w="1320" w:type="dxa"/>
            <w:shd w:val="clear" w:color="auto" w:fill="auto"/>
            <w:vAlign w:val="center"/>
            <w:hideMark/>
          </w:tcPr>
          <w:p w14:paraId="5F7C0005" w14:textId="77777777" w:rsidR="00B4163E" w:rsidRPr="00B4163E" w:rsidRDefault="00B4163E" w:rsidP="00B4163E">
            <w:pPr>
              <w:jc w:val="both"/>
              <w:rPr>
                <w:rFonts w:ascii="Calibri" w:eastAsia="Times New Roman" w:hAnsi="Calibri" w:cs="Times New Roman"/>
                <w:color w:val="0070C0"/>
                <w:sz w:val="22"/>
                <w:szCs w:val="22"/>
                <w:lang w:val="en-US" w:eastAsia="fr-FR"/>
              </w:rPr>
            </w:pPr>
            <w:r w:rsidRPr="00B4163E">
              <w:rPr>
                <w:rFonts w:ascii="Calibri" w:eastAsia="Times New Roman" w:hAnsi="Calibri" w:cs="Times New Roman"/>
                <w:color w:val="0070C0"/>
                <w:sz w:val="22"/>
                <w:szCs w:val="22"/>
                <w:lang w:val="en-US" w:eastAsia="fr-FR"/>
              </w:rPr>
              <w:t> </w:t>
            </w:r>
          </w:p>
        </w:tc>
        <w:tc>
          <w:tcPr>
            <w:tcW w:w="1395" w:type="dxa"/>
            <w:shd w:val="clear" w:color="auto" w:fill="auto"/>
            <w:vAlign w:val="center"/>
            <w:hideMark/>
          </w:tcPr>
          <w:p w14:paraId="3319A652" w14:textId="370B6845" w:rsidR="00B4163E" w:rsidRPr="00B4163E" w:rsidRDefault="00B4163E" w:rsidP="00B4163E">
            <w:pPr>
              <w:rPr>
                <w:rFonts w:ascii="Calibri" w:eastAsia="Times New Roman" w:hAnsi="Calibri" w:cs="Times New Roman"/>
                <w:color w:val="00B0F0"/>
                <w:sz w:val="22"/>
                <w:szCs w:val="22"/>
                <w:lang w:val="en-US" w:eastAsia="fr-FR"/>
              </w:rPr>
            </w:pPr>
            <w:r w:rsidRPr="00B4163E">
              <w:rPr>
                <w:rFonts w:ascii="Calibri" w:eastAsia="Times New Roman" w:hAnsi="Calibri" w:cs="Times New Roman"/>
                <w:color w:val="000000" w:themeColor="text1"/>
                <w:sz w:val="22"/>
                <w:szCs w:val="22"/>
                <w:lang w:val="en-US" w:eastAsia="fr-FR"/>
              </w:rPr>
              <w:t>Connectsens2-2 (LPC, LIMOS, IRSTEA ) : 1 thèse + 100k€</w:t>
            </w:r>
          </w:p>
        </w:tc>
        <w:tc>
          <w:tcPr>
            <w:tcW w:w="1221" w:type="dxa"/>
            <w:shd w:val="clear" w:color="auto" w:fill="auto"/>
            <w:vAlign w:val="center"/>
            <w:hideMark/>
          </w:tcPr>
          <w:p w14:paraId="7A0E5DD8" w14:textId="77777777" w:rsidR="00B4163E" w:rsidRPr="00B4163E" w:rsidRDefault="00B4163E" w:rsidP="00B4163E">
            <w:pPr>
              <w:rPr>
                <w:rFonts w:ascii="Calibri" w:eastAsia="Times New Roman" w:hAnsi="Calibri" w:cs="Times New Roman"/>
                <w:color w:val="FF0000"/>
                <w:sz w:val="22"/>
                <w:szCs w:val="22"/>
                <w:lang w:val="en-US" w:eastAsia="fr-FR"/>
              </w:rPr>
            </w:pPr>
            <w:r w:rsidRPr="00B4163E">
              <w:rPr>
                <w:rFonts w:ascii="Calibri" w:eastAsia="Times New Roman" w:hAnsi="Calibri" w:cs="Times New Roman"/>
                <w:color w:val="FF0000"/>
                <w:sz w:val="22"/>
                <w:szCs w:val="22"/>
                <w:lang w:val="en-US" w:eastAsia="fr-FR"/>
              </w:rPr>
              <w:t> </w:t>
            </w:r>
          </w:p>
        </w:tc>
      </w:tr>
      <w:tr w:rsidR="00B4163E" w:rsidRPr="00B4163E" w14:paraId="58094E84" w14:textId="77777777" w:rsidTr="00B4163E">
        <w:trPr>
          <w:trHeight w:val="288"/>
        </w:trPr>
        <w:tc>
          <w:tcPr>
            <w:tcW w:w="1809" w:type="dxa"/>
            <w:shd w:val="clear" w:color="auto" w:fill="auto"/>
            <w:vAlign w:val="center"/>
            <w:hideMark/>
          </w:tcPr>
          <w:p w14:paraId="08916E4D" w14:textId="77777777" w:rsidR="00B4163E" w:rsidRPr="00B4163E" w:rsidRDefault="00B4163E" w:rsidP="00B4163E">
            <w:pPr>
              <w:jc w:val="both"/>
              <w:rPr>
                <w:rFonts w:ascii="Calibri" w:eastAsia="Times New Roman" w:hAnsi="Calibri" w:cs="Times New Roman"/>
                <w:color w:val="FF0000"/>
                <w:sz w:val="22"/>
                <w:szCs w:val="22"/>
                <w:lang w:val="en-US" w:eastAsia="fr-FR"/>
              </w:rPr>
            </w:pPr>
            <w:r w:rsidRPr="00B4163E">
              <w:rPr>
                <w:rFonts w:ascii="Calibri" w:eastAsia="Times New Roman" w:hAnsi="Calibri" w:cs="Times New Roman"/>
                <w:color w:val="FF0000"/>
                <w:sz w:val="22"/>
                <w:szCs w:val="22"/>
                <w:lang w:val="en-US" w:eastAsia="fr-FR"/>
              </w:rPr>
              <w:t> </w:t>
            </w:r>
          </w:p>
        </w:tc>
        <w:tc>
          <w:tcPr>
            <w:tcW w:w="1300" w:type="dxa"/>
            <w:shd w:val="clear" w:color="auto" w:fill="auto"/>
            <w:hideMark/>
          </w:tcPr>
          <w:p w14:paraId="4E4145F5" w14:textId="77777777" w:rsidR="00B4163E" w:rsidRPr="00B4163E" w:rsidRDefault="00B4163E" w:rsidP="00B4163E">
            <w:pPr>
              <w:rPr>
                <w:rFonts w:ascii="Calibri" w:eastAsia="Times New Roman" w:hAnsi="Calibri" w:cs="Times New Roman"/>
                <w:color w:val="000000"/>
                <w:sz w:val="22"/>
                <w:szCs w:val="22"/>
                <w:lang w:val="en-US" w:eastAsia="fr-FR"/>
              </w:rPr>
            </w:pPr>
            <w:r w:rsidRPr="00B4163E">
              <w:rPr>
                <w:rFonts w:ascii="Calibri" w:eastAsia="Times New Roman" w:hAnsi="Calibri" w:cs="Times New Roman"/>
                <w:color w:val="000000"/>
                <w:sz w:val="22"/>
                <w:szCs w:val="22"/>
                <w:lang w:val="en-US" w:eastAsia="fr-FR"/>
              </w:rPr>
              <w:t> </w:t>
            </w:r>
          </w:p>
        </w:tc>
        <w:tc>
          <w:tcPr>
            <w:tcW w:w="1185" w:type="dxa"/>
            <w:shd w:val="clear" w:color="auto" w:fill="auto"/>
            <w:vAlign w:val="center"/>
            <w:hideMark/>
          </w:tcPr>
          <w:p w14:paraId="39259482" w14:textId="77777777" w:rsidR="00B4163E" w:rsidRPr="00B4163E" w:rsidRDefault="00B4163E" w:rsidP="00B4163E">
            <w:pPr>
              <w:jc w:val="both"/>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NEEDS projet BioCraTE (CENBG) 11k€</w:t>
            </w:r>
          </w:p>
        </w:tc>
        <w:tc>
          <w:tcPr>
            <w:tcW w:w="1628" w:type="dxa"/>
            <w:shd w:val="clear" w:color="auto" w:fill="auto"/>
            <w:hideMark/>
          </w:tcPr>
          <w:p w14:paraId="71BF0428" w14:textId="77777777" w:rsidR="00B4163E" w:rsidRPr="00B4163E" w:rsidRDefault="00B4163E" w:rsidP="00B4163E">
            <w:pPr>
              <w:rPr>
                <w:rFonts w:ascii="Calibri" w:eastAsia="Times New Roman" w:hAnsi="Calibri" w:cs="Times New Roman"/>
                <w:color w:val="000000"/>
                <w:sz w:val="22"/>
                <w:szCs w:val="22"/>
                <w:lang w:eastAsia="fr-FR"/>
              </w:rPr>
            </w:pPr>
            <w:r w:rsidRPr="00B4163E">
              <w:rPr>
                <w:rFonts w:ascii="Calibri" w:eastAsia="Times New Roman" w:hAnsi="Calibri" w:cs="Times New Roman"/>
                <w:color w:val="000000"/>
                <w:sz w:val="22"/>
                <w:szCs w:val="22"/>
                <w:lang w:eastAsia="fr-FR"/>
              </w:rPr>
              <w:t> </w:t>
            </w:r>
          </w:p>
        </w:tc>
        <w:tc>
          <w:tcPr>
            <w:tcW w:w="1320" w:type="dxa"/>
            <w:shd w:val="clear" w:color="auto" w:fill="auto"/>
            <w:vAlign w:val="center"/>
            <w:hideMark/>
          </w:tcPr>
          <w:p w14:paraId="480F76EE" w14:textId="77777777" w:rsidR="00B4163E" w:rsidRPr="00B4163E" w:rsidRDefault="00B4163E" w:rsidP="00B4163E">
            <w:pPr>
              <w:jc w:val="both"/>
              <w:rPr>
                <w:rFonts w:ascii="Calibri" w:eastAsia="Times New Roman" w:hAnsi="Calibri" w:cs="Times New Roman"/>
                <w:color w:val="0070C0"/>
                <w:sz w:val="22"/>
                <w:szCs w:val="22"/>
                <w:lang w:eastAsia="fr-FR"/>
              </w:rPr>
            </w:pPr>
            <w:r w:rsidRPr="00B4163E">
              <w:rPr>
                <w:rFonts w:ascii="Calibri" w:eastAsia="Times New Roman" w:hAnsi="Calibri" w:cs="Times New Roman"/>
                <w:color w:val="0070C0"/>
                <w:sz w:val="22"/>
                <w:szCs w:val="22"/>
                <w:lang w:eastAsia="fr-FR"/>
              </w:rPr>
              <w:t> </w:t>
            </w:r>
          </w:p>
        </w:tc>
        <w:tc>
          <w:tcPr>
            <w:tcW w:w="1395" w:type="dxa"/>
            <w:shd w:val="clear" w:color="auto" w:fill="auto"/>
            <w:vAlign w:val="center"/>
            <w:hideMark/>
          </w:tcPr>
          <w:p w14:paraId="145260CE" w14:textId="77777777" w:rsidR="00B4163E" w:rsidRPr="00B4163E" w:rsidRDefault="00B4163E" w:rsidP="00B4163E">
            <w:pPr>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 </w:t>
            </w:r>
          </w:p>
        </w:tc>
        <w:tc>
          <w:tcPr>
            <w:tcW w:w="1221" w:type="dxa"/>
            <w:shd w:val="clear" w:color="auto" w:fill="auto"/>
            <w:vAlign w:val="center"/>
            <w:hideMark/>
          </w:tcPr>
          <w:p w14:paraId="3758783B" w14:textId="77777777" w:rsidR="00B4163E" w:rsidRPr="00B4163E" w:rsidRDefault="00B4163E" w:rsidP="00B4163E">
            <w:pPr>
              <w:rPr>
                <w:rFonts w:ascii="Calibri" w:eastAsia="Times New Roman" w:hAnsi="Calibri" w:cs="Times New Roman"/>
                <w:color w:val="FF0000"/>
                <w:sz w:val="22"/>
                <w:szCs w:val="22"/>
                <w:lang w:eastAsia="fr-FR"/>
              </w:rPr>
            </w:pPr>
            <w:r w:rsidRPr="00B4163E">
              <w:rPr>
                <w:rFonts w:ascii="Calibri" w:eastAsia="Times New Roman" w:hAnsi="Calibri" w:cs="Times New Roman"/>
                <w:color w:val="FF0000"/>
                <w:sz w:val="22"/>
                <w:szCs w:val="22"/>
                <w:lang w:eastAsia="fr-FR"/>
              </w:rPr>
              <w:t> </w:t>
            </w:r>
          </w:p>
        </w:tc>
      </w:tr>
    </w:tbl>
    <w:p w14:paraId="7563EAC6" w14:textId="7603A80A" w:rsidR="00676BAE" w:rsidRPr="00453870" w:rsidRDefault="00676BAE" w:rsidP="00E0362A">
      <w:pPr>
        <w:jc w:val="both"/>
        <w:rPr>
          <w:rFonts w:cstheme="minorHAnsi"/>
          <w:i/>
          <w:color w:val="0070C0"/>
          <w:lang w:val="en-US"/>
        </w:rPr>
      </w:pPr>
    </w:p>
    <w:p w14:paraId="055280DF" w14:textId="2D1722A1" w:rsidR="00676BAE" w:rsidRPr="000C1716" w:rsidRDefault="00A62874" w:rsidP="00E0362A">
      <w:pPr>
        <w:jc w:val="both"/>
        <w:rPr>
          <w:rFonts w:cstheme="minorHAnsi"/>
          <w:b/>
          <w:color w:val="0070C0"/>
        </w:rPr>
      </w:pPr>
      <w:r w:rsidRPr="000C1716">
        <w:rPr>
          <w:rFonts w:cstheme="minorHAnsi"/>
          <w:b/>
          <w:color w:val="0070C0"/>
        </w:rPr>
        <w:t>Tableau 1b:</w:t>
      </w:r>
      <w:r w:rsidRPr="000C1716">
        <w:rPr>
          <w:rFonts w:cstheme="minorHAnsi"/>
          <w:b/>
          <w:color w:val="0070C0"/>
        </w:rPr>
        <w:t xml:space="preserve"> Bilan </w:t>
      </w:r>
      <w:r w:rsidR="00CE5D47">
        <w:rPr>
          <w:rFonts w:cstheme="minorHAnsi"/>
          <w:b/>
          <w:color w:val="0070C0"/>
        </w:rPr>
        <w:t xml:space="preserve">provisoire </w:t>
      </w:r>
      <w:r w:rsidRPr="000C1716">
        <w:rPr>
          <w:rFonts w:cstheme="minorHAnsi"/>
          <w:b/>
          <w:color w:val="0070C0"/>
        </w:rPr>
        <w:t>personnel ETP en 2019</w:t>
      </w:r>
    </w:p>
    <w:tbl>
      <w:tblPr>
        <w:tblpPr w:leftFromText="141" w:rightFromText="141" w:vertAnchor="text" w:horzAnchor="margin" w:tblpY="197"/>
        <w:tblW w:w="5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7"/>
        <w:gridCol w:w="1134"/>
      </w:tblGrid>
      <w:tr w:rsidR="00A62874" w14:paraId="5FDE8DAF" w14:textId="77777777" w:rsidTr="00A62874">
        <w:tc>
          <w:tcPr>
            <w:tcW w:w="4707" w:type="dxa"/>
            <w:shd w:val="clear" w:color="auto" w:fill="auto"/>
          </w:tcPr>
          <w:p w14:paraId="0DE5BF24" w14:textId="77777777" w:rsidR="00A62874" w:rsidRPr="00A62874" w:rsidRDefault="00A62874" w:rsidP="00A62874">
            <w:pPr>
              <w:pBdr>
                <w:top w:val="nil"/>
                <w:left w:val="nil"/>
                <w:bottom w:val="nil"/>
                <w:right w:val="nil"/>
                <w:between w:val="nil"/>
              </w:pBdr>
              <w:tabs>
                <w:tab w:val="left" w:pos="567"/>
              </w:tabs>
              <w:spacing w:before="100"/>
              <w:ind w:left="176"/>
              <w:rPr>
                <w:rFonts w:ascii="Century Gothic" w:eastAsia="Century Gothic" w:hAnsi="Century Gothic" w:cs="Century Gothic"/>
                <w:b/>
                <w:color w:val="000000"/>
                <w:sz w:val="22"/>
                <w:szCs w:val="22"/>
              </w:rPr>
            </w:pPr>
            <w:r w:rsidRPr="00A62874">
              <w:rPr>
                <w:rFonts w:ascii="Century Gothic" w:eastAsia="Century Gothic" w:hAnsi="Century Gothic" w:cs="Century Gothic"/>
                <w:b/>
                <w:color w:val="000000"/>
                <w:sz w:val="22"/>
                <w:szCs w:val="22"/>
              </w:rPr>
              <w:t>Nombre (ETP)</w:t>
            </w:r>
          </w:p>
        </w:tc>
        <w:tc>
          <w:tcPr>
            <w:tcW w:w="1134" w:type="dxa"/>
            <w:shd w:val="clear" w:color="auto" w:fill="auto"/>
          </w:tcPr>
          <w:p w14:paraId="303AEE8E" w14:textId="5F148138" w:rsidR="00A62874" w:rsidRP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b/>
                <w:color w:val="000000"/>
                <w:sz w:val="22"/>
                <w:szCs w:val="22"/>
              </w:rPr>
            </w:pPr>
            <w:r w:rsidRPr="00A62874">
              <w:rPr>
                <w:rFonts w:ascii="Century Gothic" w:eastAsia="Century Gothic" w:hAnsi="Century Gothic" w:cs="Century Gothic"/>
                <w:b/>
                <w:color w:val="000000"/>
                <w:sz w:val="22"/>
                <w:szCs w:val="22"/>
              </w:rPr>
              <w:t>201</w:t>
            </w:r>
            <w:r w:rsidRPr="00A62874">
              <w:rPr>
                <w:rFonts w:ascii="Century Gothic" w:eastAsia="Century Gothic" w:hAnsi="Century Gothic" w:cs="Century Gothic"/>
                <w:b/>
                <w:sz w:val="22"/>
                <w:szCs w:val="22"/>
              </w:rPr>
              <w:t>9</w:t>
            </w:r>
          </w:p>
        </w:tc>
      </w:tr>
      <w:tr w:rsidR="00A62874" w14:paraId="6DFC1E16" w14:textId="77777777" w:rsidTr="00A62874">
        <w:tc>
          <w:tcPr>
            <w:tcW w:w="4707" w:type="dxa"/>
            <w:shd w:val="clear" w:color="auto" w:fill="auto"/>
          </w:tcPr>
          <w:p w14:paraId="77EE5314"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Chercheurs CNRS</w:t>
            </w:r>
          </w:p>
        </w:tc>
        <w:tc>
          <w:tcPr>
            <w:tcW w:w="1134" w:type="dxa"/>
            <w:shd w:val="clear" w:color="auto" w:fill="auto"/>
          </w:tcPr>
          <w:p w14:paraId="5910A0F8" w14:textId="1C43F32A" w:rsidR="00A62874" w:rsidRDefault="005D4F38"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4,5</w:t>
            </w:r>
          </w:p>
        </w:tc>
      </w:tr>
      <w:tr w:rsidR="00A62874" w14:paraId="68C97EBD" w14:textId="77777777" w:rsidTr="00A62874">
        <w:tc>
          <w:tcPr>
            <w:tcW w:w="4707" w:type="dxa"/>
            <w:shd w:val="clear" w:color="auto" w:fill="auto"/>
          </w:tcPr>
          <w:p w14:paraId="7C1B2395"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Ens. Chercheurs Universitaire</w:t>
            </w:r>
          </w:p>
        </w:tc>
        <w:tc>
          <w:tcPr>
            <w:tcW w:w="1134" w:type="dxa"/>
            <w:shd w:val="clear" w:color="auto" w:fill="auto"/>
          </w:tcPr>
          <w:p w14:paraId="54BCC474" w14:textId="09B9F060" w:rsidR="00A62874" w:rsidRDefault="005D4F38"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3,5</w:t>
            </w:r>
          </w:p>
        </w:tc>
      </w:tr>
      <w:tr w:rsidR="00A62874" w14:paraId="7AD9C62F" w14:textId="77777777" w:rsidTr="00A62874">
        <w:tc>
          <w:tcPr>
            <w:tcW w:w="4707" w:type="dxa"/>
            <w:shd w:val="clear" w:color="auto" w:fill="auto"/>
          </w:tcPr>
          <w:p w14:paraId="15100862" w14:textId="080E1720"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 xml:space="preserve">Chercheurs autres </w:t>
            </w:r>
            <w:r w:rsidR="004521AB">
              <w:rPr>
                <w:rFonts w:ascii="Century Gothic" w:eastAsia="Century Gothic" w:hAnsi="Century Gothic" w:cs="Century Gothic"/>
                <w:i/>
                <w:color w:val="000000"/>
                <w:sz w:val="22"/>
                <w:szCs w:val="22"/>
              </w:rPr>
              <w:t>organismes</w:t>
            </w:r>
          </w:p>
        </w:tc>
        <w:tc>
          <w:tcPr>
            <w:tcW w:w="1134" w:type="dxa"/>
            <w:shd w:val="clear" w:color="auto" w:fill="auto"/>
          </w:tcPr>
          <w:p w14:paraId="5C6070F1" w14:textId="401C828E" w:rsidR="00A62874" w:rsidRDefault="005D4F38"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1,0</w:t>
            </w:r>
          </w:p>
        </w:tc>
      </w:tr>
      <w:tr w:rsidR="00A62874" w14:paraId="4AFAF7DD" w14:textId="77777777" w:rsidTr="00A62874">
        <w:tc>
          <w:tcPr>
            <w:tcW w:w="4707" w:type="dxa"/>
            <w:shd w:val="clear" w:color="auto" w:fill="auto"/>
          </w:tcPr>
          <w:p w14:paraId="0F94E3DA"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Ingénieurs/ Techniciens  CNRS</w:t>
            </w:r>
          </w:p>
        </w:tc>
        <w:tc>
          <w:tcPr>
            <w:tcW w:w="1134" w:type="dxa"/>
            <w:shd w:val="clear" w:color="auto" w:fill="auto"/>
          </w:tcPr>
          <w:p w14:paraId="593B1755" w14:textId="5F2471E8" w:rsidR="00A62874" w:rsidRDefault="005D4F38"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5,0</w:t>
            </w:r>
          </w:p>
        </w:tc>
      </w:tr>
      <w:tr w:rsidR="00A62874" w14:paraId="03F7AFE2" w14:textId="77777777" w:rsidTr="00A62874">
        <w:tc>
          <w:tcPr>
            <w:tcW w:w="4707" w:type="dxa"/>
            <w:shd w:val="clear" w:color="auto" w:fill="auto"/>
          </w:tcPr>
          <w:p w14:paraId="1903A6EA"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Ingénieurs/ Techniciens  Université</w:t>
            </w:r>
          </w:p>
        </w:tc>
        <w:tc>
          <w:tcPr>
            <w:tcW w:w="1134" w:type="dxa"/>
            <w:shd w:val="clear" w:color="auto" w:fill="auto"/>
          </w:tcPr>
          <w:p w14:paraId="45024AAD" w14:textId="5D0E0B69" w:rsidR="00A62874" w:rsidRDefault="005D4F38"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2,0</w:t>
            </w:r>
          </w:p>
        </w:tc>
      </w:tr>
      <w:tr w:rsidR="00A62874" w14:paraId="534C7035" w14:textId="77777777" w:rsidTr="00A62874">
        <w:tc>
          <w:tcPr>
            <w:tcW w:w="4707" w:type="dxa"/>
            <w:shd w:val="clear" w:color="auto" w:fill="auto"/>
          </w:tcPr>
          <w:p w14:paraId="50232D32"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color w:val="000000"/>
                <w:sz w:val="22"/>
                <w:szCs w:val="22"/>
              </w:rPr>
              <w:t>Ingénieurs/ Techniciens  autres organismes</w:t>
            </w:r>
          </w:p>
        </w:tc>
        <w:tc>
          <w:tcPr>
            <w:tcW w:w="1134" w:type="dxa"/>
            <w:shd w:val="clear" w:color="auto" w:fill="auto"/>
          </w:tcPr>
          <w:p w14:paraId="677D7709" w14:textId="339DA78E" w:rsidR="00A62874" w:rsidRDefault="000C1716"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0,5</w:t>
            </w:r>
          </w:p>
        </w:tc>
      </w:tr>
      <w:tr w:rsidR="00A62874" w14:paraId="62918D4E" w14:textId="77777777" w:rsidTr="00A62874">
        <w:tc>
          <w:tcPr>
            <w:tcW w:w="4707" w:type="dxa"/>
            <w:shd w:val="clear" w:color="auto" w:fill="auto"/>
          </w:tcPr>
          <w:p w14:paraId="36797639" w14:textId="77777777" w:rsidR="00A62874" w:rsidRDefault="00A62874" w:rsidP="00A62874">
            <w:pPr>
              <w:pBdr>
                <w:top w:val="nil"/>
                <w:left w:val="nil"/>
                <w:bottom w:val="nil"/>
                <w:right w:val="nil"/>
                <w:between w:val="nil"/>
              </w:pBdr>
              <w:tabs>
                <w:tab w:val="left" w:pos="567"/>
              </w:tabs>
              <w:spacing w:before="100"/>
              <w:rPr>
                <w:rFonts w:ascii="Century Gothic" w:eastAsia="Century Gothic" w:hAnsi="Century Gothic" w:cs="Century Gothic"/>
                <w:color w:val="404040"/>
                <w:sz w:val="22"/>
                <w:szCs w:val="22"/>
              </w:rPr>
            </w:pPr>
            <w:r>
              <w:rPr>
                <w:rFonts w:ascii="Century Gothic" w:eastAsia="Century Gothic" w:hAnsi="Century Gothic" w:cs="Century Gothic"/>
                <w:i/>
                <w:sz w:val="22"/>
                <w:szCs w:val="22"/>
              </w:rPr>
              <w:t>Doctorants/post-doctorants</w:t>
            </w:r>
          </w:p>
        </w:tc>
        <w:tc>
          <w:tcPr>
            <w:tcW w:w="1134" w:type="dxa"/>
            <w:shd w:val="clear" w:color="auto" w:fill="auto"/>
          </w:tcPr>
          <w:p w14:paraId="7A31C64E" w14:textId="5389806A" w:rsidR="00A62874" w:rsidRDefault="00B4163E" w:rsidP="00A62874">
            <w:pPr>
              <w:pBdr>
                <w:top w:val="nil"/>
                <w:left w:val="nil"/>
                <w:bottom w:val="nil"/>
                <w:right w:val="nil"/>
                <w:between w:val="nil"/>
              </w:pBdr>
              <w:tabs>
                <w:tab w:val="left" w:pos="567"/>
              </w:tabs>
              <w:spacing w:before="100"/>
              <w:rPr>
                <w:rFonts w:ascii="Century Gothic" w:eastAsia="Century Gothic" w:hAnsi="Century Gothic" w:cs="Century Gothic"/>
                <w:i/>
                <w:color w:val="000000"/>
                <w:sz w:val="22"/>
                <w:szCs w:val="22"/>
              </w:rPr>
            </w:pPr>
            <w:r>
              <w:rPr>
                <w:rFonts w:ascii="Century Gothic" w:eastAsia="Century Gothic" w:hAnsi="Century Gothic" w:cs="Century Gothic"/>
                <w:i/>
                <w:sz w:val="22"/>
                <w:szCs w:val="22"/>
              </w:rPr>
              <w:t>5</w:t>
            </w:r>
          </w:p>
        </w:tc>
      </w:tr>
    </w:tbl>
    <w:p w14:paraId="67336A6D" w14:textId="77777777" w:rsidR="00A62874" w:rsidRDefault="00A62874" w:rsidP="00E0362A">
      <w:pPr>
        <w:jc w:val="both"/>
        <w:rPr>
          <w:rFonts w:cstheme="minorHAnsi"/>
          <w:color w:val="0070C0"/>
          <w:lang w:val="en-US"/>
        </w:rPr>
      </w:pPr>
    </w:p>
    <w:p w14:paraId="60EF5234" w14:textId="77777777" w:rsidR="00A62874" w:rsidRPr="00A62874" w:rsidRDefault="00A62874" w:rsidP="00E0362A">
      <w:pPr>
        <w:jc w:val="both"/>
        <w:rPr>
          <w:rFonts w:cstheme="minorHAnsi"/>
          <w:color w:val="0070C0"/>
          <w:lang w:val="en-US"/>
        </w:rPr>
      </w:pPr>
    </w:p>
    <w:p w14:paraId="3A86D03C" w14:textId="77777777" w:rsidR="00A62874" w:rsidRPr="00A62874" w:rsidRDefault="00A62874" w:rsidP="00E0362A">
      <w:pPr>
        <w:jc w:val="both"/>
        <w:rPr>
          <w:rFonts w:cstheme="minorHAnsi"/>
          <w:color w:val="0070C0"/>
          <w:lang w:val="en-US"/>
        </w:rPr>
      </w:pPr>
    </w:p>
    <w:p w14:paraId="0CC7E1C9" w14:textId="77777777" w:rsidR="00A62874" w:rsidRPr="00A62874" w:rsidRDefault="00A62874" w:rsidP="00E0362A">
      <w:pPr>
        <w:jc w:val="both"/>
        <w:rPr>
          <w:rFonts w:cstheme="minorHAnsi"/>
          <w:color w:val="0070C0"/>
          <w:lang w:val="en-US"/>
        </w:rPr>
      </w:pPr>
    </w:p>
    <w:p w14:paraId="2387FEF3" w14:textId="77777777" w:rsidR="00A62874" w:rsidRPr="00A62874" w:rsidRDefault="00A62874" w:rsidP="00E0362A">
      <w:pPr>
        <w:jc w:val="both"/>
        <w:rPr>
          <w:rFonts w:cstheme="minorHAnsi"/>
          <w:color w:val="0070C0"/>
          <w:lang w:val="en-US"/>
        </w:rPr>
      </w:pPr>
    </w:p>
    <w:p w14:paraId="51B270D5" w14:textId="77777777" w:rsidR="00A62874" w:rsidRPr="00A62874" w:rsidRDefault="00A62874" w:rsidP="00E0362A">
      <w:pPr>
        <w:jc w:val="both"/>
        <w:rPr>
          <w:rFonts w:cstheme="minorHAnsi"/>
          <w:color w:val="0070C0"/>
          <w:lang w:val="en-US"/>
        </w:rPr>
      </w:pPr>
    </w:p>
    <w:p w14:paraId="29D3ADEC" w14:textId="77777777" w:rsidR="00676BAE" w:rsidRPr="00453870" w:rsidRDefault="00676BAE" w:rsidP="00E0362A">
      <w:pPr>
        <w:jc w:val="both"/>
        <w:rPr>
          <w:rFonts w:cstheme="minorHAnsi"/>
          <w:i/>
          <w:color w:val="0070C0"/>
          <w:lang w:val="en-US"/>
        </w:rPr>
      </w:pPr>
    </w:p>
    <w:p w14:paraId="087064E0" w14:textId="77777777" w:rsidR="00A62874" w:rsidRDefault="00A62874" w:rsidP="00E0362A">
      <w:pPr>
        <w:jc w:val="both"/>
        <w:rPr>
          <w:rFonts w:cstheme="minorHAnsi"/>
        </w:rPr>
      </w:pPr>
    </w:p>
    <w:p w14:paraId="5ADAA357" w14:textId="77777777" w:rsidR="00A62874" w:rsidRDefault="00A62874" w:rsidP="00E0362A">
      <w:pPr>
        <w:jc w:val="both"/>
        <w:rPr>
          <w:rFonts w:cstheme="minorHAnsi"/>
        </w:rPr>
      </w:pPr>
    </w:p>
    <w:p w14:paraId="10B922C4" w14:textId="77777777" w:rsidR="00A62874" w:rsidRDefault="00A62874" w:rsidP="00E0362A">
      <w:pPr>
        <w:jc w:val="both"/>
        <w:rPr>
          <w:rFonts w:cstheme="minorHAnsi"/>
        </w:rPr>
      </w:pPr>
    </w:p>
    <w:p w14:paraId="29776ABC" w14:textId="77777777" w:rsidR="00A62874" w:rsidRDefault="00A62874" w:rsidP="00E0362A">
      <w:pPr>
        <w:jc w:val="both"/>
        <w:rPr>
          <w:rFonts w:cstheme="minorHAnsi"/>
        </w:rPr>
      </w:pPr>
    </w:p>
    <w:p w14:paraId="6546643E" w14:textId="77777777" w:rsidR="00A62874" w:rsidRDefault="00A62874" w:rsidP="00E0362A">
      <w:pPr>
        <w:jc w:val="both"/>
        <w:rPr>
          <w:rFonts w:cstheme="minorHAnsi"/>
        </w:rPr>
      </w:pPr>
    </w:p>
    <w:p w14:paraId="58809655" w14:textId="77777777" w:rsidR="00A62874" w:rsidRDefault="00A62874" w:rsidP="00E0362A">
      <w:pPr>
        <w:jc w:val="both"/>
        <w:rPr>
          <w:rFonts w:cstheme="minorHAnsi"/>
        </w:rPr>
      </w:pPr>
    </w:p>
    <w:p w14:paraId="581425BA" w14:textId="77777777" w:rsidR="00A62874" w:rsidRDefault="00A62874" w:rsidP="00E0362A">
      <w:pPr>
        <w:jc w:val="both"/>
        <w:rPr>
          <w:rFonts w:cstheme="minorHAnsi"/>
        </w:rPr>
      </w:pPr>
    </w:p>
    <w:p w14:paraId="273A8267" w14:textId="17F82B29" w:rsidR="001A4D50" w:rsidRPr="00E0362A" w:rsidRDefault="001A4D50" w:rsidP="00E0362A">
      <w:pPr>
        <w:jc w:val="both"/>
        <w:rPr>
          <w:rFonts w:cstheme="minorHAnsi"/>
        </w:rPr>
      </w:pPr>
      <w:r w:rsidRPr="00E0362A">
        <w:rPr>
          <w:rFonts w:cstheme="minorHAnsi"/>
        </w:rPr>
        <w:t xml:space="preserve">*Merci de renvoyer ce document à </w:t>
      </w:r>
      <w:hyperlink r:id="rId11" w:history="1">
        <w:r w:rsidR="00246AE0" w:rsidRPr="00E0362A">
          <w:rPr>
            <w:rStyle w:val="Lienhypertexte"/>
            <w:rFonts w:cstheme="minorHAnsi"/>
            <w:b/>
          </w:rPr>
          <w:t>prosp2020-GT11-copil-l@in2p3.fr</w:t>
        </w:r>
      </w:hyperlink>
      <w:r w:rsidRPr="00E0362A">
        <w:rPr>
          <w:rFonts w:cstheme="minorHAnsi"/>
        </w:rPr>
        <w:t xml:space="preserve"> avant le </w:t>
      </w:r>
      <w:r w:rsidR="00314287" w:rsidRPr="00E0362A">
        <w:rPr>
          <w:rFonts w:cstheme="minorHAnsi"/>
        </w:rPr>
        <w:br/>
      </w:r>
      <w:r w:rsidR="00F2613A" w:rsidRPr="00E0362A">
        <w:rPr>
          <w:rFonts w:cstheme="minorHAnsi"/>
          <w:color w:val="FF0000"/>
        </w:rPr>
        <w:t>1er Novem</w:t>
      </w:r>
      <w:r w:rsidRPr="00E0362A">
        <w:rPr>
          <w:rFonts w:cstheme="minorHAnsi"/>
          <w:color w:val="FF0000"/>
        </w:rPr>
        <w:t>bre 2019</w:t>
      </w:r>
    </w:p>
    <w:p w14:paraId="4CC78ECA" w14:textId="77777777" w:rsidR="006A1B8F" w:rsidRPr="00E0362A" w:rsidRDefault="006A1B8F" w:rsidP="00E0362A">
      <w:pPr>
        <w:jc w:val="both"/>
        <w:rPr>
          <w:rFonts w:cstheme="minorHAnsi"/>
          <w:color w:val="FF0000"/>
          <w:lang w:val="en-US"/>
        </w:rPr>
      </w:pPr>
    </w:p>
    <w:p w14:paraId="734AF0A1" w14:textId="77777777" w:rsidR="006A1B8F" w:rsidRPr="00E0362A" w:rsidRDefault="006A1B8F" w:rsidP="00E0362A">
      <w:pPr>
        <w:jc w:val="both"/>
        <w:rPr>
          <w:rFonts w:cstheme="minorHAnsi"/>
          <w:color w:val="000000" w:themeColor="text1"/>
          <w:lang w:val="en-US"/>
        </w:rPr>
      </w:pPr>
    </w:p>
    <w:sectPr w:rsidR="006A1B8F" w:rsidRPr="00E0362A" w:rsidSect="00476E6E">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B024B" w14:textId="77777777" w:rsidR="00D75C38" w:rsidRDefault="00D75C38" w:rsidP="00D23D89">
      <w:r>
        <w:separator/>
      </w:r>
    </w:p>
  </w:endnote>
  <w:endnote w:type="continuationSeparator" w:id="0">
    <w:p w14:paraId="566A8C1A" w14:textId="77777777" w:rsidR="00D75C38" w:rsidRDefault="00D75C38"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14:paraId="72B3ADE1" w14:textId="77777777"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2229715" w14:textId="77777777"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14:paraId="235A1214" w14:textId="209A3E18"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B4163E">
          <w:rPr>
            <w:rStyle w:val="Numrodepage"/>
            <w:noProof/>
          </w:rPr>
          <w:t>2</w:t>
        </w:r>
        <w:r>
          <w:rPr>
            <w:rStyle w:val="Numrodepage"/>
          </w:rPr>
          <w:fldChar w:fldCharType="end"/>
        </w:r>
      </w:p>
    </w:sdtContent>
  </w:sdt>
  <w:p w14:paraId="517452B2" w14:textId="77777777"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9C8C5" w14:textId="77777777" w:rsidR="00D75C38" w:rsidRDefault="00D75C38" w:rsidP="00D23D89">
      <w:r>
        <w:separator/>
      </w:r>
    </w:p>
  </w:footnote>
  <w:footnote w:type="continuationSeparator" w:id="0">
    <w:p w14:paraId="041B2E77" w14:textId="77777777" w:rsidR="00D75C38" w:rsidRDefault="00D75C38"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8B4B76"/>
    <w:multiLevelType w:val="hybridMultilevel"/>
    <w:tmpl w:val="4304809C"/>
    <w:lvl w:ilvl="0" w:tplc="86EEB82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C948FC"/>
    <w:multiLevelType w:val="multilevel"/>
    <w:tmpl w:val="65700B68"/>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860" w:hanging="576"/>
      </w:pPr>
      <w:rPr>
        <w:rFonts w:cs="Times New Roman"/>
      </w:rPr>
    </w:lvl>
    <w:lvl w:ilvl="2">
      <w:start w:val="1"/>
      <w:numFmt w:val="decimal"/>
      <w:lvlText w:val="%1.%2.%3"/>
      <w:lvlJc w:val="left"/>
      <w:pPr>
        <w:ind w:left="720"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6C873575"/>
    <w:multiLevelType w:val="multilevel"/>
    <w:tmpl w:val="F48C3A9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860"/>
        </w:tabs>
        <w:ind w:left="860" w:hanging="576"/>
      </w:pPr>
      <w:rPr>
        <w:rFonts w:ascii="Tahoma" w:hAnsi="Tahoma" w:cs="Times New Roman"/>
      </w:rPr>
    </w:lvl>
    <w:lvl w:ilvl="2">
      <w:start w:val="1"/>
      <w:numFmt w:val="decimal"/>
      <w:lvlText w:val="%1.%2.%3"/>
      <w:lvlJc w:val="left"/>
      <w:pPr>
        <w:ind w:left="1440" w:hanging="36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8"/>
  </w:num>
  <w:num w:numId="4">
    <w:abstractNumId w:val="1"/>
  </w:num>
  <w:num w:numId="5">
    <w:abstractNumId w:val="2"/>
  </w:num>
  <w:num w:numId="6">
    <w:abstractNumId w:val="3"/>
  </w:num>
  <w:num w:numId="7">
    <w:abstractNumId w:val="9"/>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2214D"/>
    <w:rsid w:val="00025047"/>
    <w:rsid w:val="0007418E"/>
    <w:rsid w:val="0009397C"/>
    <w:rsid w:val="000C1716"/>
    <w:rsid w:val="00143A86"/>
    <w:rsid w:val="00153F48"/>
    <w:rsid w:val="00160920"/>
    <w:rsid w:val="00164C6E"/>
    <w:rsid w:val="00197173"/>
    <w:rsid w:val="001A4D50"/>
    <w:rsid w:val="001D01E0"/>
    <w:rsid w:val="001E01A9"/>
    <w:rsid w:val="001F350A"/>
    <w:rsid w:val="00246AE0"/>
    <w:rsid w:val="00246F8E"/>
    <w:rsid w:val="002603A4"/>
    <w:rsid w:val="002D033E"/>
    <w:rsid w:val="00314287"/>
    <w:rsid w:val="00335157"/>
    <w:rsid w:val="00377B76"/>
    <w:rsid w:val="003B14CD"/>
    <w:rsid w:val="003B5089"/>
    <w:rsid w:val="0040145A"/>
    <w:rsid w:val="00414A98"/>
    <w:rsid w:val="00424A8C"/>
    <w:rsid w:val="0044602B"/>
    <w:rsid w:val="004521AB"/>
    <w:rsid w:val="00453870"/>
    <w:rsid w:val="00476E6E"/>
    <w:rsid w:val="004A51B3"/>
    <w:rsid w:val="004C600F"/>
    <w:rsid w:val="004E6880"/>
    <w:rsid w:val="0052183C"/>
    <w:rsid w:val="00534810"/>
    <w:rsid w:val="00547E63"/>
    <w:rsid w:val="00562C90"/>
    <w:rsid w:val="00567C46"/>
    <w:rsid w:val="005925D5"/>
    <w:rsid w:val="005B2472"/>
    <w:rsid w:val="005C069C"/>
    <w:rsid w:val="005D4F38"/>
    <w:rsid w:val="005D6125"/>
    <w:rsid w:val="005F4BEF"/>
    <w:rsid w:val="0062584A"/>
    <w:rsid w:val="0063062A"/>
    <w:rsid w:val="00676BAE"/>
    <w:rsid w:val="006A1B8F"/>
    <w:rsid w:val="006A6F3B"/>
    <w:rsid w:val="006C176C"/>
    <w:rsid w:val="006D5F80"/>
    <w:rsid w:val="007415FD"/>
    <w:rsid w:val="00750425"/>
    <w:rsid w:val="00767EB6"/>
    <w:rsid w:val="0079180B"/>
    <w:rsid w:val="007921F7"/>
    <w:rsid w:val="007C0349"/>
    <w:rsid w:val="007D194A"/>
    <w:rsid w:val="007D7954"/>
    <w:rsid w:val="007F1E1F"/>
    <w:rsid w:val="00843ABC"/>
    <w:rsid w:val="00865D4D"/>
    <w:rsid w:val="00883B3C"/>
    <w:rsid w:val="008A43A3"/>
    <w:rsid w:val="008E3F27"/>
    <w:rsid w:val="0091610E"/>
    <w:rsid w:val="00947816"/>
    <w:rsid w:val="009744EB"/>
    <w:rsid w:val="00981B13"/>
    <w:rsid w:val="00983468"/>
    <w:rsid w:val="00996407"/>
    <w:rsid w:val="009B2513"/>
    <w:rsid w:val="00A126D5"/>
    <w:rsid w:val="00A25C9F"/>
    <w:rsid w:val="00A62874"/>
    <w:rsid w:val="00A901C5"/>
    <w:rsid w:val="00A92490"/>
    <w:rsid w:val="00A9489D"/>
    <w:rsid w:val="00AB57B0"/>
    <w:rsid w:val="00B41346"/>
    <w:rsid w:val="00B4163E"/>
    <w:rsid w:val="00BD5D20"/>
    <w:rsid w:val="00C05538"/>
    <w:rsid w:val="00CD3A70"/>
    <w:rsid w:val="00CE1657"/>
    <w:rsid w:val="00CE2727"/>
    <w:rsid w:val="00CE56A6"/>
    <w:rsid w:val="00CE5D47"/>
    <w:rsid w:val="00D23D89"/>
    <w:rsid w:val="00D6068B"/>
    <w:rsid w:val="00D61521"/>
    <w:rsid w:val="00D75C38"/>
    <w:rsid w:val="00D81C5F"/>
    <w:rsid w:val="00DC7EE1"/>
    <w:rsid w:val="00E0362A"/>
    <w:rsid w:val="00E2190C"/>
    <w:rsid w:val="00E477E5"/>
    <w:rsid w:val="00E9524D"/>
    <w:rsid w:val="00EA38DB"/>
    <w:rsid w:val="00EE3218"/>
    <w:rsid w:val="00EF364D"/>
    <w:rsid w:val="00F2613A"/>
    <w:rsid w:val="00F42719"/>
    <w:rsid w:val="00F520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696AC"/>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E0362A"/>
    <w:pPr>
      <w:keepNext/>
      <w:numPr>
        <w:numId w:val="9"/>
      </w:numPr>
      <w:spacing w:before="240" w:after="120"/>
      <w:outlineLvl w:val="0"/>
    </w:pPr>
    <w:rPr>
      <w:rFonts w:ascii="Verdana" w:eastAsia="Times New Roman" w:hAnsi="Verdana" w:cs="Arial"/>
      <w:b/>
      <w:bCs/>
      <w:smallCaps/>
      <w:color w:val="800080"/>
      <w:sz w:val="28"/>
      <w:szCs w:val="28"/>
      <w:lang w:eastAsia="fr-FR"/>
    </w:rPr>
  </w:style>
  <w:style w:type="paragraph" w:styleId="Titre2">
    <w:name w:val="heading 2"/>
    <w:basedOn w:val="Normal"/>
    <w:next w:val="Normal"/>
    <w:link w:val="Titre2Car"/>
    <w:qFormat/>
    <w:rsid w:val="00E0362A"/>
    <w:pPr>
      <w:keepNext/>
      <w:numPr>
        <w:ilvl w:val="1"/>
        <w:numId w:val="9"/>
      </w:numPr>
      <w:tabs>
        <w:tab w:val="left" w:pos="1143"/>
      </w:tabs>
      <w:spacing w:before="240" w:after="120"/>
      <w:ind w:left="1143" w:firstLine="0"/>
      <w:outlineLvl w:val="1"/>
    </w:pPr>
    <w:rPr>
      <w:rFonts w:ascii="Verdana" w:eastAsia="Times New Roman" w:hAnsi="Verdana" w:cs="Arial"/>
      <w:b/>
      <w:bCs/>
      <w:smallCaps/>
      <w:color w:val="003366"/>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styleId="Marquedecommentaire">
    <w:name w:val="annotation reference"/>
    <w:basedOn w:val="Policepardfaut"/>
    <w:uiPriority w:val="99"/>
    <w:semiHidden/>
    <w:unhideWhenUsed/>
    <w:rsid w:val="007921F7"/>
    <w:rPr>
      <w:sz w:val="16"/>
      <w:szCs w:val="16"/>
    </w:rPr>
  </w:style>
  <w:style w:type="paragraph" w:styleId="Commentaire">
    <w:name w:val="annotation text"/>
    <w:basedOn w:val="Normal"/>
    <w:link w:val="CommentaireCar"/>
    <w:uiPriority w:val="99"/>
    <w:semiHidden/>
    <w:unhideWhenUsed/>
    <w:rsid w:val="007921F7"/>
    <w:rPr>
      <w:sz w:val="20"/>
      <w:szCs w:val="20"/>
    </w:rPr>
  </w:style>
  <w:style w:type="character" w:customStyle="1" w:styleId="CommentaireCar">
    <w:name w:val="Commentaire Car"/>
    <w:basedOn w:val="Policepardfaut"/>
    <w:link w:val="Commentaire"/>
    <w:uiPriority w:val="99"/>
    <w:semiHidden/>
    <w:rsid w:val="007921F7"/>
    <w:rPr>
      <w:sz w:val="20"/>
      <w:szCs w:val="20"/>
    </w:rPr>
  </w:style>
  <w:style w:type="paragraph" w:styleId="Objetducommentaire">
    <w:name w:val="annotation subject"/>
    <w:basedOn w:val="Commentaire"/>
    <w:next w:val="Commentaire"/>
    <w:link w:val="ObjetducommentaireCar"/>
    <w:uiPriority w:val="99"/>
    <w:semiHidden/>
    <w:unhideWhenUsed/>
    <w:rsid w:val="007921F7"/>
    <w:rPr>
      <w:b/>
      <w:bCs/>
    </w:rPr>
  </w:style>
  <w:style w:type="character" w:customStyle="1" w:styleId="ObjetducommentaireCar">
    <w:name w:val="Objet du commentaire Car"/>
    <w:basedOn w:val="CommentaireCar"/>
    <w:link w:val="Objetducommentaire"/>
    <w:uiPriority w:val="99"/>
    <w:semiHidden/>
    <w:rsid w:val="007921F7"/>
    <w:rPr>
      <w:b/>
      <w:bCs/>
      <w:sz w:val="20"/>
      <w:szCs w:val="20"/>
    </w:rPr>
  </w:style>
  <w:style w:type="paragraph" w:styleId="Textedebulles">
    <w:name w:val="Balloon Text"/>
    <w:basedOn w:val="Normal"/>
    <w:link w:val="TextedebullesCar"/>
    <w:uiPriority w:val="99"/>
    <w:semiHidden/>
    <w:unhideWhenUsed/>
    <w:rsid w:val="007921F7"/>
    <w:rPr>
      <w:rFonts w:ascii="Segoe UI" w:hAnsi="Segoe UI" w:cs="Segoe UI"/>
      <w:sz w:val="18"/>
      <w:szCs w:val="18"/>
    </w:rPr>
  </w:style>
  <w:style w:type="character" w:customStyle="1" w:styleId="TextedebullesCar">
    <w:name w:val="Texte de bulles Car"/>
    <w:basedOn w:val="Policepardfaut"/>
    <w:link w:val="Textedebulles"/>
    <w:uiPriority w:val="99"/>
    <w:semiHidden/>
    <w:rsid w:val="007921F7"/>
    <w:rPr>
      <w:rFonts w:ascii="Segoe UI" w:hAnsi="Segoe UI" w:cs="Segoe UI"/>
      <w:sz w:val="18"/>
      <w:szCs w:val="18"/>
    </w:rPr>
  </w:style>
  <w:style w:type="paragraph" w:customStyle="1" w:styleId="instructions">
    <w:name w:val="instructions"/>
    <w:basedOn w:val="Normal"/>
    <w:qFormat/>
    <w:rsid w:val="00E0362A"/>
    <w:pPr>
      <w:spacing w:before="120"/>
      <w:jc w:val="both"/>
    </w:pPr>
    <w:rPr>
      <w:rFonts w:ascii="Times New Roman" w:eastAsia="Times New Roman" w:hAnsi="Times New Roman" w:cs="Times New Roman"/>
      <w:i/>
      <w:spacing w:val="-4"/>
      <w:sz w:val="22"/>
      <w:szCs w:val="22"/>
      <w:lang w:eastAsia="fr-FR"/>
    </w:rPr>
  </w:style>
  <w:style w:type="character" w:customStyle="1" w:styleId="Titre1Car">
    <w:name w:val="Titre 1 Car"/>
    <w:basedOn w:val="Policepardfaut"/>
    <w:link w:val="Titre1"/>
    <w:rsid w:val="00E0362A"/>
    <w:rPr>
      <w:rFonts w:ascii="Verdana" w:eastAsia="Times New Roman" w:hAnsi="Verdana" w:cs="Arial"/>
      <w:b/>
      <w:bCs/>
      <w:smallCaps/>
      <w:color w:val="800080"/>
      <w:sz w:val="28"/>
      <w:szCs w:val="28"/>
      <w:lang w:eastAsia="fr-FR"/>
    </w:rPr>
  </w:style>
  <w:style w:type="character" w:customStyle="1" w:styleId="Titre2Car">
    <w:name w:val="Titre 2 Car"/>
    <w:basedOn w:val="Policepardfaut"/>
    <w:link w:val="Titre2"/>
    <w:rsid w:val="00E0362A"/>
    <w:rPr>
      <w:rFonts w:ascii="Verdana" w:eastAsia="Times New Roman" w:hAnsi="Verdana" w:cs="Arial"/>
      <w:b/>
      <w:bCs/>
      <w:smallCaps/>
      <w:color w:val="003366"/>
      <w:sz w:val="22"/>
      <w:szCs w:val="22"/>
      <w:lang w:eastAsia="fr-FR"/>
    </w:rPr>
  </w:style>
  <w:style w:type="table" w:styleId="Grilledutableau">
    <w:name w:val="Table Grid"/>
    <w:basedOn w:val="TableauNormal"/>
    <w:uiPriority w:val="39"/>
    <w:rsid w:val="00E0362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510218976">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sp2020-GT11-copil-l@in2p3.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EE985-41DA-42CF-B049-9232C086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1106</Words>
  <Characters>6087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Patrick</cp:lastModifiedBy>
  <cp:revision>2</cp:revision>
  <dcterms:created xsi:type="dcterms:W3CDTF">2019-10-31T17:53:00Z</dcterms:created>
  <dcterms:modified xsi:type="dcterms:W3CDTF">2019-10-31T17:53:00Z</dcterms:modified>
</cp:coreProperties>
</file>