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C46" w:rsidRPr="0002214D" w:rsidRDefault="0002214D" w:rsidP="0002214D">
      <w:pPr>
        <w:jc w:val="center"/>
        <w:rPr>
          <w:b/>
        </w:rPr>
      </w:pPr>
      <w:r w:rsidRPr="0002214D">
        <w:rPr>
          <w:b/>
        </w:rPr>
        <w:t>Contribution aux exercices de prospective 2020-2030</w:t>
      </w:r>
    </w:p>
    <w:p w:rsidR="0002214D" w:rsidRPr="00610AB2" w:rsidRDefault="0002214D" w:rsidP="0002214D">
      <w:pPr>
        <w:jc w:val="center"/>
        <w:rPr>
          <w:b/>
          <w:i/>
          <w:lang w:val="en-US"/>
        </w:rPr>
      </w:pPr>
      <w:r w:rsidRPr="00610AB2">
        <w:rPr>
          <w:b/>
          <w:i/>
          <w:lang w:val="en-US"/>
        </w:rPr>
        <w:t>Contribution to the 2020-2030 prospective refle</w:t>
      </w:r>
      <w:r w:rsidR="00767EB6" w:rsidRPr="00610AB2">
        <w:rPr>
          <w:b/>
          <w:i/>
          <w:lang w:val="en-US"/>
        </w:rPr>
        <w:t>cti</w:t>
      </w:r>
      <w:r w:rsidRPr="00610AB2">
        <w:rPr>
          <w:b/>
          <w:i/>
          <w:lang w:val="en-US"/>
        </w:rPr>
        <w:t>on</w:t>
      </w:r>
    </w:p>
    <w:p w:rsidR="0002214D" w:rsidRPr="00610AB2" w:rsidRDefault="0002214D" w:rsidP="0002214D">
      <w:pPr>
        <w:jc w:val="center"/>
        <w:rPr>
          <w:b/>
          <w:lang w:val="en-US"/>
        </w:rPr>
      </w:pPr>
    </w:p>
    <w:p w:rsidR="00610AB2" w:rsidRPr="00610AB2" w:rsidRDefault="00610AB2" w:rsidP="00610AB2">
      <w:pPr>
        <w:jc w:val="center"/>
        <w:rPr>
          <w:b/>
          <w:lang w:val="en-US"/>
        </w:rPr>
      </w:pPr>
      <w:r w:rsidRPr="00610AB2">
        <w:rPr>
          <w:b/>
          <w:lang w:val="en-US"/>
        </w:rPr>
        <w:t>Sciences Nucléaires et Vivant</w:t>
      </w:r>
    </w:p>
    <w:p w:rsidR="00610AB2" w:rsidRPr="00610AB2" w:rsidRDefault="00610AB2" w:rsidP="00610AB2">
      <w:pPr>
        <w:jc w:val="center"/>
        <w:rPr>
          <w:i/>
          <w:lang w:val="en-US"/>
        </w:rPr>
      </w:pPr>
      <w:r w:rsidRPr="00610AB2">
        <w:rPr>
          <w:i/>
          <w:lang w:val="en-US"/>
        </w:rPr>
        <w:t>Nuclear Science and Health</w:t>
      </w:r>
    </w:p>
    <w:p w:rsidR="00610AB2" w:rsidRPr="00610AB2" w:rsidRDefault="00610AB2" w:rsidP="00610AB2">
      <w:pPr>
        <w:rPr>
          <w:lang w:val="en-US"/>
        </w:rPr>
      </w:pPr>
    </w:p>
    <w:p w:rsidR="00610AB2" w:rsidRPr="001452D8" w:rsidRDefault="00610AB2" w:rsidP="00610AB2">
      <w:pPr>
        <w:jc w:val="center"/>
        <w:rPr>
          <w:b/>
        </w:rPr>
      </w:pPr>
      <w:r>
        <w:rPr>
          <w:b/>
        </w:rPr>
        <w:t>Description détaillée de la contribution</w:t>
      </w:r>
    </w:p>
    <w:p w:rsidR="00610AB2" w:rsidRPr="001452D8" w:rsidRDefault="00610AB2" w:rsidP="00610AB2">
      <w:pPr>
        <w:jc w:val="center"/>
        <w:rPr>
          <w:i/>
        </w:rPr>
      </w:pPr>
      <w:r>
        <w:rPr>
          <w:i/>
        </w:rPr>
        <w:t>Detailed description of contribution</w:t>
      </w:r>
    </w:p>
    <w:p w:rsidR="0002214D" w:rsidRPr="00610AB2" w:rsidRDefault="0002214D"/>
    <w:p w:rsidR="00610AB2" w:rsidRDefault="00610AB2" w:rsidP="003B5089">
      <w:pPr>
        <w:jc w:val="both"/>
        <w:rPr>
          <w:b/>
        </w:rPr>
      </w:pPr>
      <w:r>
        <w:rPr>
          <w:b/>
        </w:rPr>
        <w:t>Indiquer les o</w:t>
      </w:r>
      <w:r w:rsidR="0002214D" w:rsidRPr="0002214D">
        <w:rPr>
          <w:b/>
        </w:rPr>
        <w:t>bjectifs scientifiques (2 pages max. avec figures)</w:t>
      </w:r>
    </w:p>
    <w:p w:rsidR="0002214D" w:rsidRPr="00843ABC" w:rsidRDefault="00610AB2" w:rsidP="003B5089">
      <w:pPr>
        <w:jc w:val="both"/>
        <w:rPr>
          <w:b/>
          <w:i/>
        </w:rPr>
      </w:pPr>
      <w:r>
        <w:rPr>
          <w:b/>
          <w:i/>
        </w:rPr>
        <w:t>Please indicate s</w:t>
      </w:r>
      <w:r w:rsidR="0002214D" w:rsidRPr="00843ABC">
        <w:rPr>
          <w:b/>
          <w:i/>
        </w:rPr>
        <w:t>cience objectives (2 pages max. including figures)</w:t>
      </w:r>
    </w:p>
    <w:p w:rsidR="0002214D" w:rsidRDefault="0002214D" w:rsidP="003B5089">
      <w:pPr>
        <w:jc w:val="both"/>
      </w:pPr>
    </w:p>
    <w:p w:rsidR="00123F41" w:rsidRDefault="00123F41" w:rsidP="003B5089">
      <w:pPr>
        <w:jc w:val="both"/>
      </w:pPr>
      <w:r>
        <w:t>Vers la TEP à temps-de-vol à 10 ps</w:t>
      </w:r>
    </w:p>
    <w:p w:rsidR="00123F41" w:rsidRDefault="00123F41" w:rsidP="003B5089">
      <w:pPr>
        <w:jc w:val="both"/>
        <w:rPr>
          <w:i/>
          <w:lang w:val="en-GB"/>
        </w:rPr>
      </w:pPr>
      <w:r w:rsidRPr="00123F41">
        <w:rPr>
          <w:i/>
          <w:lang w:val="en-GB"/>
        </w:rPr>
        <w:t>Toward 10 ps time-of-flight PET</w:t>
      </w:r>
    </w:p>
    <w:p w:rsidR="00627E22" w:rsidRDefault="00627E22" w:rsidP="003B5089">
      <w:pPr>
        <w:jc w:val="both"/>
        <w:rPr>
          <w:i/>
          <w:lang w:val="en-US"/>
        </w:rPr>
      </w:pPr>
    </w:p>
    <w:p w:rsidR="00627E22" w:rsidRPr="00116983" w:rsidRDefault="00627E22" w:rsidP="00627E22">
      <w:pPr>
        <w:jc w:val="both"/>
        <w:rPr>
          <w:i/>
        </w:rPr>
      </w:pPr>
      <w:r w:rsidRPr="00627E22">
        <w:t xml:space="preserve">Mathieu Dupont, Yannick Boursier, David Brasse, Frédéric Boisson, Laurent Ménard, Dominique Breton, </w:t>
      </w:r>
      <w:r w:rsidRPr="00116983">
        <w:t>Sara Marcatilli</w:t>
      </w:r>
      <w:r w:rsidR="00034768">
        <w:t>, Ch</w:t>
      </w:r>
      <w:r w:rsidR="0006554C">
        <w:t>ri</w:t>
      </w:r>
      <w:r w:rsidR="00034768">
        <w:t>stian Morel</w:t>
      </w:r>
    </w:p>
    <w:p w:rsidR="00610AB2" w:rsidRPr="00116983" w:rsidRDefault="00610AB2" w:rsidP="003B5089">
      <w:pPr>
        <w:jc w:val="both"/>
      </w:pPr>
    </w:p>
    <w:p w:rsidR="00610AB2" w:rsidRPr="00610AB2" w:rsidRDefault="001E01A9" w:rsidP="003B5089">
      <w:pPr>
        <w:jc w:val="both"/>
      </w:pPr>
      <w:r w:rsidRPr="001E01A9">
        <w:t xml:space="preserve">Merci </w:t>
      </w:r>
      <w:r w:rsidR="00610AB2">
        <w:t>de préciser</w:t>
      </w:r>
      <w:r w:rsidRPr="001E01A9">
        <w:t xml:space="preserve"> le positionnement des objectifs dans l’état de l’art (échelle internationale) ainsi que le</w:t>
      </w:r>
      <w:r w:rsidR="003B5089">
        <w:t>s</w:t>
      </w:r>
      <w:r w:rsidRPr="001E01A9">
        <w:t xml:space="preserve"> li</w:t>
      </w:r>
      <w:r>
        <w:t>ens avec des projets existants et</w:t>
      </w:r>
      <w:bookmarkStart w:id="0" w:name="_GoBack"/>
      <w:bookmarkEnd w:id="0"/>
      <w:r>
        <w:t>/ou futurs.</w:t>
      </w:r>
    </w:p>
    <w:p w:rsidR="00CF3DAB" w:rsidRDefault="001E01A9" w:rsidP="00CF3DAB">
      <w:pPr>
        <w:jc w:val="both"/>
        <w:rPr>
          <w:i/>
          <w:lang w:val="en-US"/>
        </w:rPr>
      </w:pPr>
      <w:r w:rsidRPr="001E01A9">
        <w:rPr>
          <w:i/>
          <w:lang w:val="en-US"/>
        </w:rPr>
        <w:t>Please include description of motivation against (international) state-of-the-art, as well as link</w:t>
      </w:r>
      <w:r>
        <w:rPr>
          <w:i/>
          <w:lang w:val="en-US"/>
        </w:rPr>
        <w:t>s</w:t>
      </w:r>
      <w:r w:rsidRPr="001E01A9">
        <w:rPr>
          <w:i/>
          <w:lang w:val="en-US"/>
        </w:rPr>
        <w:t xml:space="preserve"> to other projects (existing or foreseen). </w:t>
      </w:r>
    </w:p>
    <w:p w:rsidR="00CF3DAB" w:rsidRDefault="00CF3DAB" w:rsidP="00CF3DAB">
      <w:pPr>
        <w:jc w:val="both"/>
        <w:rPr>
          <w:i/>
          <w:lang w:val="en-US"/>
        </w:rPr>
      </w:pPr>
    </w:p>
    <w:p w:rsidR="00CF3DAB" w:rsidRDefault="004A6644" w:rsidP="00CF3DAB">
      <w:pPr>
        <w:jc w:val="both"/>
        <w:rPr>
          <w:rFonts w:cstheme="minorHAnsi"/>
        </w:rPr>
      </w:pPr>
      <w:r w:rsidRPr="00FF6451">
        <w:rPr>
          <w:rFonts w:cstheme="minorHAnsi"/>
        </w:rPr>
        <w:t xml:space="preserve">Depuis les années 70, la tomographie par émission de postions (TEP) est devenue un outil </w:t>
      </w:r>
      <w:r w:rsidR="00BC6E6B" w:rsidRPr="00FF6451">
        <w:rPr>
          <w:rFonts w:cstheme="minorHAnsi"/>
        </w:rPr>
        <w:t>d’imagerie moléculaire doté d’une sensibilité picomolaire sans égale, particulièrement pour l</w:t>
      </w:r>
      <w:r w:rsidR="00042187" w:rsidRPr="00FF6451">
        <w:rPr>
          <w:rFonts w:cstheme="minorHAnsi"/>
        </w:rPr>
        <w:t>e</w:t>
      </w:r>
      <w:r w:rsidR="00BC6E6B" w:rsidRPr="00FF6451">
        <w:rPr>
          <w:rFonts w:cstheme="minorHAnsi"/>
        </w:rPr>
        <w:t xml:space="preserve"> diagnostic du cancer et le suivi de la réponse au traitement. </w:t>
      </w:r>
      <w:r w:rsidR="00DD362E" w:rsidRPr="00FF6451">
        <w:rPr>
          <w:rFonts w:cstheme="minorHAnsi"/>
        </w:rPr>
        <w:t>Néanmoins, de nombreux défis médicaux, en particulière</w:t>
      </w:r>
      <w:r w:rsidR="00042187" w:rsidRPr="00FF6451">
        <w:rPr>
          <w:rFonts w:cstheme="minorHAnsi"/>
        </w:rPr>
        <w:t>ment</w:t>
      </w:r>
      <w:r w:rsidR="00DD362E" w:rsidRPr="00FF6451">
        <w:rPr>
          <w:rFonts w:cstheme="minorHAnsi"/>
        </w:rPr>
        <w:t xml:space="preserve"> </w:t>
      </w:r>
      <w:r w:rsidR="00042187" w:rsidRPr="00FF6451">
        <w:rPr>
          <w:rFonts w:cstheme="minorHAnsi"/>
        </w:rPr>
        <w:t>pour</w:t>
      </w:r>
      <w:r w:rsidR="00DD362E" w:rsidRPr="00FF6451">
        <w:rPr>
          <w:rFonts w:cstheme="minorHAnsi"/>
        </w:rPr>
        <w:t xml:space="preserve"> la médecine personnalisée, appellent à améliorer la sensibilité de </w:t>
      </w:r>
      <w:r w:rsidR="00042187" w:rsidRPr="00FF6451">
        <w:rPr>
          <w:rFonts w:cstheme="minorHAnsi"/>
        </w:rPr>
        <w:t xml:space="preserve">cette modalité d’imagerie en </w:t>
      </w:r>
      <w:r w:rsidR="00DD0D10">
        <w:rPr>
          <w:rFonts w:cstheme="minorHAnsi"/>
        </w:rPr>
        <w:t xml:space="preserve">médecine </w:t>
      </w:r>
      <w:r w:rsidR="00042187" w:rsidRPr="00FF6451">
        <w:rPr>
          <w:rFonts w:cstheme="minorHAnsi"/>
        </w:rPr>
        <w:t>nucléaire</w:t>
      </w:r>
      <w:r w:rsidR="00DD362E" w:rsidRPr="00FF6451">
        <w:rPr>
          <w:rFonts w:cstheme="minorHAnsi"/>
        </w:rPr>
        <w:t>. Un meilleur rapport signal-sur-bruit (SNR) dans l’image permettrait alors de détecter de</w:t>
      </w:r>
      <w:r w:rsidR="00042187" w:rsidRPr="00FF6451">
        <w:rPr>
          <w:rFonts w:cstheme="minorHAnsi"/>
        </w:rPr>
        <w:t>s</w:t>
      </w:r>
      <w:r w:rsidR="00DD362E" w:rsidRPr="00FF6451">
        <w:rPr>
          <w:rFonts w:cstheme="minorHAnsi"/>
        </w:rPr>
        <w:t xml:space="preserve"> tumeurs de petites tailles. De même, la demande pour réduire les doses de rayonnement sans toucher à la qualité des images est très forte.</w:t>
      </w:r>
    </w:p>
    <w:p w:rsidR="00CF3DAB" w:rsidRDefault="00CF3DAB" w:rsidP="00CF3DAB">
      <w:pPr>
        <w:jc w:val="both"/>
        <w:rPr>
          <w:rFonts w:cstheme="minorHAnsi"/>
        </w:rPr>
      </w:pPr>
    </w:p>
    <w:p w:rsidR="00CF3DAB" w:rsidRDefault="00DD362E" w:rsidP="00CF3DAB">
      <w:pPr>
        <w:jc w:val="both"/>
        <w:rPr>
          <w:rFonts w:cstheme="minorHAnsi"/>
        </w:rPr>
      </w:pPr>
      <w:r w:rsidRPr="00FF6451">
        <w:rPr>
          <w:rFonts w:cstheme="minorHAnsi"/>
        </w:rPr>
        <w:t>Il existe typiquement trois façons d’améliorer la s</w:t>
      </w:r>
      <w:r w:rsidR="001F6A77" w:rsidRPr="00FF6451">
        <w:rPr>
          <w:rFonts w:cstheme="minorHAnsi"/>
        </w:rPr>
        <w:t>en</w:t>
      </w:r>
      <w:r w:rsidRPr="00FF6451">
        <w:rPr>
          <w:rFonts w:cstheme="minorHAnsi"/>
        </w:rPr>
        <w:t xml:space="preserve">sibilité des caméras TEP : améliorer l’efficacité de détection, </w:t>
      </w:r>
      <w:r w:rsidR="00063455" w:rsidRPr="00FF6451">
        <w:rPr>
          <w:rFonts w:cstheme="minorHAnsi"/>
        </w:rPr>
        <w:t xml:space="preserve">améliorer l’acceptance géométrique du système d’imagerie et améliorer les performances en temps du détecteur. Actuellement, une pré-localisation de l’annihilation électron-positon le long de la ligne de réponse donnée par la détection d’une </w:t>
      </w:r>
      <w:r w:rsidR="00DD0D10">
        <w:rPr>
          <w:rFonts w:cstheme="minorHAnsi"/>
        </w:rPr>
        <w:t>paire</w:t>
      </w:r>
      <w:r w:rsidR="00063455" w:rsidRPr="00FF6451">
        <w:rPr>
          <w:rFonts w:cstheme="minorHAnsi"/>
        </w:rPr>
        <w:t xml:space="preserve"> de photons d’annihilation est possible grâce à la mesure de la différente de temps de détection entre les deux photons</w:t>
      </w:r>
      <w:r w:rsidR="00EF5220" w:rsidRPr="00FF6451">
        <w:rPr>
          <w:rFonts w:cstheme="minorHAnsi"/>
        </w:rPr>
        <w:t xml:space="preserve"> ou TOF pour </w:t>
      </w:r>
      <w:r w:rsidR="00EF5220" w:rsidRPr="00FF6451">
        <w:rPr>
          <w:rFonts w:cstheme="minorHAnsi"/>
          <w:i/>
        </w:rPr>
        <w:t>Time-Of-Flight</w:t>
      </w:r>
      <w:r w:rsidR="00063455" w:rsidRPr="00FF6451">
        <w:rPr>
          <w:rFonts w:cstheme="minorHAnsi"/>
        </w:rPr>
        <w:t>, dont la pré</w:t>
      </w:r>
      <w:r w:rsidR="00EF5220" w:rsidRPr="00FF6451">
        <w:rPr>
          <w:rFonts w:cstheme="minorHAnsi"/>
        </w:rPr>
        <w:t>c</w:t>
      </w:r>
      <w:r w:rsidR="00063455" w:rsidRPr="00FF6451">
        <w:rPr>
          <w:rFonts w:cstheme="minorHAnsi"/>
        </w:rPr>
        <w:t>ision est donnée par l</w:t>
      </w:r>
      <w:r w:rsidR="001F6A77" w:rsidRPr="00FF6451">
        <w:rPr>
          <w:rFonts w:cstheme="minorHAnsi"/>
        </w:rPr>
        <w:t>a</w:t>
      </w:r>
      <w:r w:rsidR="00063455" w:rsidRPr="00FF6451">
        <w:rPr>
          <w:rFonts w:cstheme="minorHAnsi"/>
        </w:rPr>
        <w:t xml:space="preserve"> résolution en temps de la coïncidence ou CTR pour </w:t>
      </w:r>
      <w:r w:rsidR="00063455" w:rsidRPr="00FF6451">
        <w:rPr>
          <w:rFonts w:cstheme="minorHAnsi"/>
          <w:i/>
        </w:rPr>
        <w:t>Coincidence Time Resolution</w:t>
      </w:r>
      <w:r w:rsidR="00063455" w:rsidRPr="00FF6451">
        <w:rPr>
          <w:rFonts w:cstheme="minorHAnsi"/>
        </w:rPr>
        <w:t>.</w:t>
      </w:r>
      <w:r w:rsidR="000C148F" w:rsidRPr="00FF6451">
        <w:rPr>
          <w:rFonts w:cstheme="minorHAnsi"/>
        </w:rPr>
        <w:t xml:space="preserve"> </w:t>
      </w:r>
      <w:r w:rsidR="00EF5220" w:rsidRPr="00FF6451">
        <w:rPr>
          <w:rFonts w:cstheme="minorHAnsi"/>
        </w:rPr>
        <w:t>Ce faisant, le SNR est proportionnel à la racine carrée de la CTR :</w:t>
      </w:r>
    </w:p>
    <w:p w:rsidR="00CF3DAB" w:rsidRDefault="00CF3DAB" w:rsidP="00CF3DAB">
      <w:pPr>
        <w:jc w:val="both"/>
        <w:rPr>
          <w:rFonts w:cstheme="minorHAnsi"/>
        </w:rPr>
      </w:pPr>
    </w:p>
    <w:p w:rsidR="00CF3DAB" w:rsidRPr="00CF3DAB" w:rsidRDefault="00246139" w:rsidP="00CF3DAB">
      <w:pPr>
        <w:jc w:val="both"/>
        <w:rPr>
          <w:rFonts w:eastAsiaTheme="minorEastAsia" w:cstheme="minorHAnsi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SNR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TOF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SNR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nonTOF</m:t>
                          </m:r>
                        </m:sub>
                      </m:sSub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w:rPr>
                  <w:rFonts w:ascii="Cambria Math" w:hAnsi="Cambria Math"/>
                </w:rPr>
                <m:t>CTR</m:t>
              </m:r>
            </m:den>
          </m:f>
        </m:oMath>
      </m:oMathPara>
    </w:p>
    <w:p w:rsidR="00CF3DAB" w:rsidRDefault="00CF3DAB" w:rsidP="00CF3DAB">
      <w:pPr>
        <w:jc w:val="both"/>
      </w:pPr>
    </w:p>
    <w:p w:rsidR="00CF3DAB" w:rsidRDefault="00CF3DAB" w:rsidP="00CF3DAB">
      <w:pPr>
        <w:jc w:val="both"/>
      </w:pPr>
      <w:proofErr w:type="gramStart"/>
      <w:r>
        <w:t>o</w:t>
      </w:r>
      <w:r w:rsidR="00A56462" w:rsidRPr="00A56462">
        <w:t>ù</w:t>
      </w:r>
      <w:proofErr w:type="gramEnd"/>
      <w:r w:rsidR="00A56462" w:rsidRPr="00A56462">
        <w:t xml:space="preserve"> </w:t>
      </w:r>
      <m:oMath>
        <m:r>
          <w:rPr>
            <w:rFonts w:ascii="Cambria Math" w:hAnsi="Cambria Math"/>
          </w:rPr>
          <m:t>D</m:t>
        </m:r>
      </m:oMath>
      <w:r w:rsidR="00A56462" w:rsidRPr="00A56462">
        <w:t xml:space="preserve"> est le </w:t>
      </w:r>
      <w:r w:rsidR="00DD0D10">
        <w:t xml:space="preserve">diamètre </w:t>
      </w:r>
      <w:r w:rsidR="00A56462">
        <w:t xml:space="preserve">du champ-de-vue et </w:t>
      </w:r>
      <m:oMath>
        <m:r>
          <w:rPr>
            <w:rFonts w:ascii="Cambria Math" w:hAnsi="Cambria Math"/>
          </w:rPr>
          <m:t>c</m:t>
        </m:r>
      </m:oMath>
      <w:r w:rsidR="00A56462" w:rsidRPr="00A56462">
        <w:t xml:space="preserve"> </w:t>
      </w:r>
      <w:r w:rsidR="00A56462">
        <w:t xml:space="preserve">la vitesse de la lumière dans le vide. Les caméras TEP commerciales ont introduit la mesure du TOF avec un CTR de 500 ps FWHM environ, puis plus récemment 214 ps </w:t>
      </w:r>
      <w:r w:rsidR="00DD0D10">
        <w:t xml:space="preserve">FWHM </w:t>
      </w:r>
      <w:r w:rsidR="00A56462">
        <w:t xml:space="preserve">pour la caméra Biograph Vision de Siemens [3], ce qui se </w:t>
      </w:r>
      <w:r w:rsidR="00A56462">
        <w:lastRenderedPageBreak/>
        <w:t>traduit par une amélioration du SNR de l’image par un facteur 2,3 et 3,5, respectivement.</w:t>
      </w:r>
      <w:r w:rsidR="00A56462" w:rsidRPr="00A56462">
        <w:t xml:space="preserve"> </w:t>
      </w:r>
      <w:r w:rsidR="00A56462" w:rsidRPr="000C148F">
        <w:t xml:space="preserve">Un CTR de 10 ps permettrait </w:t>
      </w:r>
      <w:r w:rsidR="00A56462">
        <w:t xml:space="preserve">ainsi </w:t>
      </w:r>
      <w:r w:rsidR="00A56462" w:rsidRPr="000C148F">
        <w:t xml:space="preserve">de reconstruire </w:t>
      </w:r>
      <w:r w:rsidR="00A56462">
        <w:t>directement une distribution d’activité en trois dimensions d’un radio-pharmaceutique émetteur de positons avec une résolution millimétrique pratiquement sans inversion tomographique</w:t>
      </w:r>
      <w:r w:rsidR="003F30C4">
        <w:t xml:space="preserve"> [4]</w:t>
      </w:r>
      <w:r w:rsidR="00A56462">
        <w:t>.</w:t>
      </w:r>
    </w:p>
    <w:p w:rsidR="00CF3DAB" w:rsidRDefault="00CF3DAB" w:rsidP="00CF3DAB">
      <w:pPr>
        <w:jc w:val="both"/>
      </w:pPr>
    </w:p>
    <w:p w:rsidR="00CF3DAB" w:rsidRDefault="003E6497" w:rsidP="00CF3DAB">
      <w:pPr>
        <w:jc w:val="both"/>
      </w:pPr>
      <w:r>
        <w:t>Sur la base de ces observations, la collabor</w:t>
      </w:r>
      <w:r w:rsidR="00A75EFA">
        <w:t>a</w:t>
      </w:r>
      <w:r>
        <w:t>t</w:t>
      </w:r>
      <w:r w:rsidR="00A75EFA">
        <w:t>i</w:t>
      </w:r>
      <w:r>
        <w:t xml:space="preserve">on </w:t>
      </w:r>
      <w:r w:rsidRPr="00A75EFA">
        <w:rPr>
          <w:i/>
        </w:rPr>
        <w:t>Crystal Clear</w:t>
      </w:r>
      <w:r>
        <w:t xml:space="preserve"> du CE</w:t>
      </w:r>
      <w:r w:rsidR="00A61C0A">
        <w:t xml:space="preserve">RN </w:t>
      </w:r>
      <w:r w:rsidR="00DD0D10">
        <w:t>a proposé</w:t>
      </w:r>
      <w:r w:rsidR="00A61C0A">
        <w:t xml:space="preserve"> de lancer un défi sur la TEP à temps-de-vol à 10 ps (</w:t>
      </w:r>
      <w:hyperlink r:id="rId6" w:history="1">
        <w:r w:rsidR="00A61C0A" w:rsidRPr="00CC6350">
          <w:rPr>
            <w:rStyle w:val="Lienhypertexte"/>
          </w:rPr>
          <w:t>https://the10ps-challenge.org/</w:t>
        </w:r>
      </w:hyperlink>
      <w:r w:rsidR="00A61C0A">
        <w:t xml:space="preserve">) afin de stimuler la R&amp;D dans ce domaine. </w:t>
      </w:r>
      <w:r w:rsidR="001D08B2" w:rsidRPr="001D08B2">
        <w:t xml:space="preserve">L’Association Européenne de Médecine Nucléarie (EANM) a récemment </w:t>
      </w:r>
      <w:r w:rsidR="00DD0D10">
        <w:t>donné son accord de principe pour</w:t>
      </w:r>
      <w:r w:rsidR="001D08B2" w:rsidRPr="001D08B2">
        <w:t xml:space="preserve"> héberger ce défi, </w:t>
      </w:r>
      <w:r w:rsidR="00DD0D10">
        <w:t xml:space="preserve">ce </w:t>
      </w:r>
      <w:r w:rsidR="001D08B2">
        <w:t xml:space="preserve">qui </w:t>
      </w:r>
      <w:r w:rsidR="00DD0D10">
        <w:t>devrait</w:t>
      </w:r>
      <w:r w:rsidR="00035206">
        <w:t xml:space="preserve"> </w:t>
      </w:r>
      <w:r w:rsidR="00DD0D10">
        <w:t>permettre d’</w:t>
      </w:r>
      <w:r w:rsidR="001D08B2">
        <w:t xml:space="preserve">aboutir </w:t>
      </w:r>
      <w:r w:rsidR="00DD0D10">
        <w:t xml:space="preserve">à </w:t>
      </w:r>
      <w:r w:rsidR="001D08B2">
        <w:t xml:space="preserve">deux prix incitatifs venant </w:t>
      </w:r>
      <w:r w:rsidR="00DD0D10">
        <w:t xml:space="preserve">récompenser </w:t>
      </w:r>
      <w:r w:rsidR="001D08B2">
        <w:t>d’une par</w:t>
      </w:r>
      <w:r w:rsidR="00DD0D10">
        <w:t>t</w:t>
      </w:r>
      <w:r w:rsidR="001D08B2">
        <w:t xml:space="preserve"> les trois meilleures performances démontrées lors d’une semaine de démonstration qui pourrait être organisée au CERN à l’horizon 2023 et d’autre part la première équipe </w:t>
      </w:r>
      <w:r w:rsidR="00DD0D10">
        <w:t>réussissant à faire</w:t>
      </w:r>
      <w:r w:rsidR="001D08B2">
        <w:t xml:space="preserve"> </w:t>
      </w:r>
      <w:r w:rsidR="00DD0D10">
        <w:t xml:space="preserve">la </w:t>
      </w:r>
      <w:r w:rsidR="001D08B2">
        <w:t>démon</w:t>
      </w:r>
      <w:r w:rsidR="00DD0D10">
        <w:t>s</w:t>
      </w:r>
      <w:r w:rsidR="001D08B2">
        <w:t>tr</w:t>
      </w:r>
      <w:r w:rsidR="00DD0D10">
        <w:t>ation</w:t>
      </w:r>
      <w:r w:rsidR="001D08B2">
        <w:t xml:space="preserve"> </w:t>
      </w:r>
      <w:r w:rsidR="00DD0D10">
        <w:t>d’</w:t>
      </w:r>
      <w:r w:rsidR="001D08B2">
        <w:t>un dispositif expérimental avec un CTR ≤ 10 ps FWHM et à séparer les cylindres de 1,6 mm de diamètre</w:t>
      </w:r>
      <w:r w:rsidR="00DD0D10">
        <w:t xml:space="preserve"> d’un fantôme de résolution </w:t>
      </w:r>
      <w:r w:rsidR="00E62F77">
        <w:t>uniquement</w:t>
      </w:r>
      <w:r w:rsidR="001D08B2">
        <w:t xml:space="preserve"> par la mesure de temps-de-vol, sans inversion tomographique.</w:t>
      </w:r>
    </w:p>
    <w:p w:rsidR="00CF3DAB" w:rsidRDefault="00CF3DAB" w:rsidP="00CF3DAB">
      <w:pPr>
        <w:jc w:val="both"/>
      </w:pPr>
    </w:p>
    <w:p w:rsidR="00CF3DAB" w:rsidRDefault="00035206" w:rsidP="00CF3DAB">
      <w:pPr>
        <w:jc w:val="both"/>
      </w:pPr>
      <w:r w:rsidRPr="00035206">
        <w:t xml:space="preserve">L’objectif de cette contribution </w:t>
      </w:r>
      <w:r w:rsidR="00E67DAF">
        <w:t xml:space="preserve">au GT10 </w:t>
      </w:r>
      <w:r w:rsidRPr="00035206">
        <w:t xml:space="preserve">est de </w:t>
      </w:r>
      <w:r w:rsidR="00E21413">
        <w:t>considérer</w:t>
      </w:r>
      <w:r>
        <w:t xml:space="preserve"> l’opportunité de constituer une activité de R&amp;D concertée au niveau national dans le but de relever ce défi.</w:t>
      </w:r>
    </w:p>
    <w:p w:rsidR="00CF3DAB" w:rsidRPr="00E67DAF" w:rsidRDefault="00CF3DAB" w:rsidP="00CF3DAB"/>
    <w:p w:rsidR="00CF3DAB" w:rsidRDefault="001D08B2" w:rsidP="00CF3DAB">
      <w:pPr>
        <w:ind w:left="426" w:hanging="426"/>
        <w:rPr>
          <w:lang w:val="en-US"/>
        </w:rPr>
      </w:pPr>
      <w:r w:rsidRPr="00CF3DAB">
        <w:rPr>
          <w:lang w:val="en-US"/>
        </w:rPr>
        <w:t>[1]</w:t>
      </w:r>
      <w:r w:rsidR="00CF3DAB">
        <w:rPr>
          <w:lang w:val="en-US"/>
        </w:rPr>
        <w:tab/>
      </w:r>
      <w:r w:rsidRPr="00CF3DAB">
        <w:rPr>
          <w:lang w:val="en-US"/>
        </w:rPr>
        <w:t>D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>L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Snyder, L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>J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Thomas and M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>M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Terpogossian, “A mathematical-model for positron-emission tomography systems having time-of-flight measurements,” </w:t>
      </w:r>
      <w:r w:rsidRPr="00CF3DAB">
        <w:rPr>
          <w:i/>
          <w:lang w:val="en-US"/>
        </w:rPr>
        <w:t>IEEE Trans Nucl Sci</w:t>
      </w:r>
      <w:r w:rsidRPr="00CF3DAB">
        <w:rPr>
          <w:lang w:val="en-US"/>
        </w:rPr>
        <w:t>, vol. 28, no. 3, pp. 3575-3583, 1981.</w:t>
      </w:r>
    </w:p>
    <w:p w:rsidR="00CF3DAB" w:rsidRDefault="001D08B2" w:rsidP="00CF3DAB">
      <w:pPr>
        <w:ind w:left="426" w:hanging="426"/>
        <w:rPr>
          <w:lang w:val="en-US"/>
        </w:rPr>
      </w:pPr>
      <w:r w:rsidRPr="00CF3DAB">
        <w:rPr>
          <w:lang w:val="en-US"/>
        </w:rPr>
        <w:t>[2]</w:t>
      </w:r>
      <w:r w:rsidR="00CF3DAB">
        <w:rPr>
          <w:lang w:val="en-US"/>
        </w:rPr>
        <w:tab/>
      </w:r>
      <w:r w:rsidRPr="00CF3DAB">
        <w:rPr>
          <w:lang w:val="en-US"/>
        </w:rPr>
        <w:t>T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>F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Budinger, “Time-of-flight positron emission tomography - status relative to conventional PET,” </w:t>
      </w:r>
      <w:r w:rsidRPr="00CF3DAB">
        <w:rPr>
          <w:i/>
          <w:lang w:val="en-US"/>
        </w:rPr>
        <w:t>J Nucl Med</w:t>
      </w:r>
      <w:r w:rsidRPr="00CF3DAB">
        <w:rPr>
          <w:lang w:val="en-US"/>
        </w:rPr>
        <w:t>, vol. 24, no. 1, pp. 73-76, 1983.</w:t>
      </w:r>
    </w:p>
    <w:p w:rsidR="00CF3DAB" w:rsidRPr="00CF3DAB" w:rsidRDefault="001D08B2" w:rsidP="00CF3DAB">
      <w:pPr>
        <w:ind w:left="426" w:hanging="426"/>
        <w:rPr>
          <w:lang w:val="en-US"/>
        </w:rPr>
      </w:pPr>
      <w:r w:rsidRPr="00CF3DAB">
        <w:rPr>
          <w:lang w:val="en-US"/>
        </w:rPr>
        <w:t>[3]</w:t>
      </w:r>
      <w:r w:rsidR="00CF3DAB">
        <w:rPr>
          <w:lang w:val="en-US"/>
        </w:rPr>
        <w:tab/>
      </w:r>
      <w:r w:rsidRPr="00CF3DAB">
        <w:rPr>
          <w:lang w:val="en-US"/>
        </w:rPr>
        <w:t>J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>J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van Sluis, J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de Jong, J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Schaar, W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Noordzij, P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van Snick, R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Dierckx, R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Borra, A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Willemsen, and R</w:t>
      </w:r>
      <w:r w:rsidR="003F30C4" w:rsidRPr="00CF3DAB">
        <w:rPr>
          <w:lang w:val="en-US"/>
        </w:rPr>
        <w:t>.</w:t>
      </w:r>
      <w:r w:rsidRPr="00CF3DAB">
        <w:rPr>
          <w:lang w:val="en-US"/>
        </w:rPr>
        <w:t xml:space="preserve"> Boellaard, “Performance characteristics of the Digital Biograph Vision PET/CT system,” </w:t>
      </w:r>
      <w:r w:rsidRPr="00CF3DAB">
        <w:rPr>
          <w:i/>
          <w:lang w:val="en-US"/>
        </w:rPr>
        <w:t>J Nucl Med</w:t>
      </w:r>
      <w:r w:rsidRPr="00CF3DAB">
        <w:rPr>
          <w:lang w:val="en-US"/>
        </w:rPr>
        <w:t>, vol. 60, no. 7, pp. 1031-1036, 2019. doi: 10.2967/jnumed.118.215418.</w:t>
      </w:r>
    </w:p>
    <w:p w:rsidR="00220A11" w:rsidRPr="00CF3DAB" w:rsidRDefault="003F30C4" w:rsidP="00CF3DAB">
      <w:pPr>
        <w:ind w:left="426" w:hanging="426"/>
        <w:rPr>
          <w:rFonts w:eastAsiaTheme="minorEastAsia" w:cstheme="minorHAnsi"/>
          <w:lang w:val="en-US"/>
        </w:rPr>
      </w:pPr>
      <w:r w:rsidRPr="00CF3DAB">
        <w:rPr>
          <w:lang w:val="en-US"/>
        </w:rPr>
        <w:t>[4]</w:t>
      </w:r>
      <w:r w:rsidR="00CF3DAB">
        <w:rPr>
          <w:lang w:val="en-US"/>
        </w:rPr>
        <w:tab/>
      </w:r>
      <w:r w:rsidRPr="00CF3DAB">
        <w:rPr>
          <w:lang w:val="en-US"/>
        </w:rPr>
        <w:t xml:space="preserve">P. Lecoq, C. Morel, J.O. Prior, D. Visvikis, S. Gundacker, E. Auffray, P. Križan, R. Martinez-Turtos, D. Thers, M. Benoit, E. Charbon, J. Varela, C. de La Taille, A. Rivetti, D. Breton, J.-F. Pratte, J. Nuyts, S. Surti, S. Vandenberghe, P. Marsden, K. Parodi, J. Maria Benlloch, “Roadmap toward the 10 ps time-of-flight PET challenge,” roadmap article submitted to </w:t>
      </w:r>
      <w:r w:rsidRPr="00CF3DAB">
        <w:rPr>
          <w:i/>
          <w:lang w:val="en-US"/>
        </w:rPr>
        <w:t>Phys Med Biol</w:t>
      </w:r>
      <w:r w:rsidRPr="00CF3DAB">
        <w:rPr>
          <w:lang w:val="en-US"/>
        </w:rPr>
        <w:t>, 2019.</w:t>
      </w:r>
    </w:p>
    <w:p w:rsidR="001A4D50" w:rsidRPr="0006554C" w:rsidRDefault="001A4D50" w:rsidP="00035206">
      <w:pPr>
        <w:jc w:val="center"/>
      </w:pPr>
      <w:r w:rsidRPr="0006554C">
        <w:t>*</w:t>
      </w:r>
    </w:p>
    <w:p w:rsidR="001A4D50" w:rsidRDefault="001A4D50" w:rsidP="001A4D50">
      <w:pPr>
        <w:jc w:val="center"/>
        <w:rPr>
          <w:b/>
          <w:color w:val="FF0000"/>
        </w:rPr>
      </w:pPr>
      <w:r w:rsidRPr="00D23D89">
        <w:rPr>
          <w:b/>
        </w:rPr>
        <w:t xml:space="preserve">Merci de renvoyer ce document à </w:t>
      </w:r>
      <w:hyperlink r:id="rId7" w:history="1">
        <w:r w:rsidR="006E4EAC" w:rsidRPr="004D4F78">
          <w:rPr>
            <w:rStyle w:val="Lienhypertexte"/>
          </w:rPr>
          <w:t>PROSP2020-GT10-COPIL-L@IN2P3.FR</w:t>
        </w:r>
      </w:hyperlink>
      <w:r w:rsidR="006E4EAC">
        <w:t xml:space="preserve"> </w:t>
      </w:r>
      <w:r w:rsidRPr="00D23D89">
        <w:rPr>
          <w:b/>
        </w:rPr>
        <w:t xml:space="preserve">avant le </w:t>
      </w:r>
      <w:r w:rsidR="006E4EAC">
        <w:rPr>
          <w:b/>
        </w:rPr>
        <w:br/>
      </w:r>
      <w:r w:rsidR="009617C6">
        <w:rPr>
          <w:b/>
          <w:color w:val="FF0000"/>
        </w:rPr>
        <w:t>1</w:t>
      </w:r>
      <w:r w:rsidR="009617C6" w:rsidRPr="00913328">
        <w:rPr>
          <w:b/>
          <w:color w:val="FF0000"/>
        </w:rPr>
        <w:t>er</w:t>
      </w:r>
      <w:r w:rsidR="009617C6">
        <w:rPr>
          <w:b/>
          <w:color w:val="FF0000"/>
        </w:rPr>
        <w:t xml:space="preserve"> </w:t>
      </w:r>
      <w:r w:rsidR="00CB0C79">
        <w:rPr>
          <w:b/>
          <w:color w:val="FF0000"/>
        </w:rPr>
        <w:t>n</w:t>
      </w:r>
      <w:r w:rsidR="009617C6">
        <w:rPr>
          <w:b/>
          <w:color w:val="FF0000"/>
        </w:rPr>
        <w:t>ovembre</w:t>
      </w:r>
      <w:r w:rsidRPr="00D23D89">
        <w:rPr>
          <w:b/>
          <w:color w:val="FF0000"/>
        </w:rPr>
        <w:t xml:space="preserve"> 2019</w:t>
      </w:r>
    </w:p>
    <w:p w:rsidR="006E4EAC" w:rsidRPr="00D23D89" w:rsidRDefault="006E4EAC" w:rsidP="001A4D50">
      <w:pPr>
        <w:jc w:val="center"/>
        <w:rPr>
          <w:b/>
        </w:rPr>
      </w:pPr>
    </w:p>
    <w:p w:rsidR="001A4D50" w:rsidRPr="00D23D89" w:rsidRDefault="001A4D50" w:rsidP="001A4D50">
      <w:pPr>
        <w:jc w:val="center"/>
        <w:rPr>
          <w:b/>
          <w:lang w:val="en-US"/>
        </w:rPr>
      </w:pPr>
      <w:r w:rsidRPr="00D23D89">
        <w:rPr>
          <w:b/>
          <w:lang w:val="en-US"/>
        </w:rPr>
        <w:t xml:space="preserve">Please send this document to </w:t>
      </w:r>
      <w:hyperlink r:id="rId8" w:history="1">
        <w:r w:rsidR="006E4EAC" w:rsidRPr="006E4EAC">
          <w:rPr>
            <w:rStyle w:val="Lienhypertexte"/>
            <w:lang w:val="en-US"/>
          </w:rPr>
          <w:t>PROSP2020-GT10-COPIL-L@IN2P3.FR</w:t>
        </w:r>
      </w:hyperlink>
      <w:r w:rsidR="006E4EAC" w:rsidRPr="006E4EAC">
        <w:rPr>
          <w:lang w:val="en-US"/>
        </w:rPr>
        <w:t xml:space="preserve"> </w:t>
      </w:r>
      <w:r w:rsidRPr="00D23D89">
        <w:rPr>
          <w:b/>
          <w:lang w:val="en-US"/>
        </w:rPr>
        <w:t xml:space="preserve">before </w:t>
      </w:r>
      <w:r w:rsidR="006E4EAC">
        <w:rPr>
          <w:b/>
          <w:lang w:val="en-US"/>
        </w:rPr>
        <w:br/>
      </w:r>
      <w:r w:rsidR="00E3130C">
        <w:rPr>
          <w:b/>
          <w:color w:val="FF0000"/>
          <w:lang w:val="en-US"/>
        </w:rPr>
        <w:t>n</w:t>
      </w:r>
      <w:r w:rsidR="009617C6">
        <w:rPr>
          <w:b/>
          <w:color w:val="FF0000"/>
          <w:lang w:val="en-US"/>
        </w:rPr>
        <w:t>ovember 1st</w:t>
      </w:r>
      <w:r w:rsidRPr="00D23D89">
        <w:rPr>
          <w:b/>
          <w:color w:val="FF0000"/>
          <w:lang w:val="en-US"/>
        </w:rPr>
        <w:t>, 2019</w:t>
      </w:r>
    </w:p>
    <w:sectPr w:rsidR="001A4D50" w:rsidRPr="00D23D89" w:rsidSect="00476E6E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139" w:rsidRDefault="00246139" w:rsidP="00D23D89">
      <w:r>
        <w:separator/>
      </w:r>
    </w:p>
  </w:endnote>
  <w:endnote w:type="continuationSeparator" w:id="0">
    <w:p w:rsidR="00246139" w:rsidRDefault="00246139" w:rsidP="00D2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88254415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23D89" w:rsidRDefault="00D23D89" w:rsidP="006A599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D23D89" w:rsidRDefault="00D23D89" w:rsidP="00D23D8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40549489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23D89" w:rsidRDefault="00D23D89" w:rsidP="006A599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D23D89" w:rsidRDefault="00D23D89" w:rsidP="00D23D8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139" w:rsidRDefault="00246139" w:rsidP="00D23D89">
      <w:r>
        <w:separator/>
      </w:r>
    </w:p>
  </w:footnote>
  <w:footnote w:type="continuationSeparator" w:id="0">
    <w:p w:rsidR="00246139" w:rsidRDefault="00246139" w:rsidP="00D23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14D"/>
    <w:rsid w:val="0002214D"/>
    <w:rsid w:val="00034768"/>
    <w:rsid w:val="00035206"/>
    <w:rsid w:val="00042187"/>
    <w:rsid w:val="00063455"/>
    <w:rsid w:val="0006554C"/>
    <w:rsid w:val="000C148F"/>
    <w:rsid w:val="00116983"/>
    <w:rsid w:val="00123F41"/>
    <w:rsid w:val="00143A86"/>
    <w:rsid w:val="00164C6E"/>
    <w:rsid w:val="00197173"/>
    <w:rsid w:val="001A4D50"/>
    <w:rsid w:val="001D01E0"/>
    <w:rsid w:val="001D08B2"/>
    <w:rsid w:val="001E01A9"/>
    <w:rsid w:val="001F6A77"/>
    <w:rsid w:val="00220A11"/>
    <w:rsid w:val="00246139"/>
    <w:rsid w:val="002707CD"/>
    <w:rsid w:val="00335157"/>
    <w:rsid w:val="003B5089"/>
    <w:rsid w:val="003E6497"/>
    <w:rsid w:val="003F30C4"/>
    <w:rsid w:val="00476E6E"/>
    <w:rsid w:val="00494491"/>
    <w:rsid w:val="004A51B3"/>
    <w:rsid w:val="004A6644"/>
    <w:rsid w:val="005222F8"/>
    <w:rsid w:val="00556F92"/>
    <w:rsid w:val="00567C46"/>
    <w:rsid w:val="00587829"/>
    <w:rsid w:val="00610AB2"/>
    <w:rsid w:val="00627E22"/>
    <w:rsid w:val="0063062A"/>
    <w:rsid w:val="00646CCF"/>
    <w:rsid w:val="006E4EAC"/>
    <w:rsid w:val="0071215B"/>
    <w:rsid w:val="007568C1"/>
    <w:rsid w:val="00767EB6"/>
    <w:rsid w:val="007F1E1F"/>
    <w:rsid w:val="00843ABC"/>
    <w:rsid w:val="00913328"/>
    <w:rsid w:val="00947816"/>
    <w:rsid w:val="009617C6"/>
    <w:rsid w:val="009B2513"/>
    <w:rsid w:val="00A56462"/>
    <w:rsid w:val="00A61C0A"/>
    <w:rsid w:val="00A75EFA"/>
    <w:rsid w:val="00A92275"/>
    <w:rsid w:val="00AE68D3"/>
    <w:rsid w:val="00B871E3"/>
    <w:rsid w:val="00BC6E6B"/>
    <w:rsid w:val="00CB0C79"/>
    <w:rsid w:val="00CC1903"/>
    <w:rsid w:val="00CD3A70"/>
    <w:rsid w:val="00CF3DAB"/>
    <w:rsid w:val="00D15C6E"/>
    <w:rsid w:val="00D23D89"/>
    <w:rsid w:val="00D61521"/>
    <w:rsid w:val="00D81C5F"/>
    <w:rsid w:val="00DD0D10"/>
    <w:rsid w:val="00DD362E"/>
    <w:rsid w:val="00E21413"/>
    <w:rsid w:val="00E3130C"/>
    <w:rsid w:val="00E62F77"/>
    <w:rsid w:val="00E67DAF"/>
    <w:rsid w:val="00EF5220"/>
    <w:rsid w:val="00F03450"/>
    <w:rsid w:val="00F03959"/>
    <w:rsid w:val="00F5600E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21AD14"/>
  <w15:chartTrackingRefBased/>
  <w15:docId w15:val="{82C7539A-4A5A-054C-95FE-099D6CAB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21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A4D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A4D50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D23D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3D89"/>
  </w:style>
  <w:style w:type="character" w:styleId="Numrodepage">
    <w:name w:val="page number"/>
    <w:basedOn w:val="Policepardfaut"/>
    <w:uiPriority w:val="99"/>
    <w:semiHidden/>
    <w:unhideWhenUsed/>
    <w:rsid w:val="00D23D89"/>
  </w:style>
  <w:style w:type="paragraph" w:customStyle="1" w:styleId="Text">
    <w:name w:val="Text"/>
    <w:basedOn w:val="Normal"/>
    <w:link w:val="TextChar"/>
    <w:rsid w:val="004A6644"/>
    <w:pPr>
      <w:widowControl w:val="0"/>
      <w:tabs>
        <w:tab w:val="right" w:pos="9072"/>
      </w:tabs>
      <w:spacing w:after="480" w:line="360" w:lineRule="auto"/>
      <w:jc w:val="both"/>
    </w:pPr>
    <w:rPr>
      <w:rFonts w:ascii="Times New Roman" w:eastAsia="Times New Roman" w:hAnsi="Times New Roman" w:cs="Times New Roman"/>
      <w:lang w:val="en-GB" w:eastAsia="de-AT"/>
    </w:rPr>
  </w:style>
  <w:style w:type="character" w:customStyle="1" w:styleId="TextChar">
    <w:name w:val="Text Char"/>
    <w:basedOn w:val="Policepardfaut"/>
    <w:link w:val="Text"/>
    <w:rsid w:val="004A6644"/>
    <w:rPr>
      <w:rFonts w:ascii="Times New Roman" w:eastAsia="Times New Roman" w:hAnsi="Times New Roman" w:cs="Times New Roman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SP2020-GT10-COPIL-L@IN2P3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ROSP2020-GT10-COPIL-L@IN2P3.F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he10ps-challenge.org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808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morel@cppm.in2p3.fr</cp:lastModifiedBy>
  <cp:revision>42</cp:revision>
  <cp:lastPrinted>2019-10-28T17:30:00Z</cp:lastPrinted>
  <dcterms:created xsi:type="dcterms:W3CDTF">2019-06-24T09:21:00Z</dcterms:created>
  <dcterms:modified xsi:type="dcterms:W3CDTF">2019-10-28T17:47:00Z</dcterms:modified>
</cp:coreProperties>
</file>