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1363" w:rsidRPr="0002214D" w:rsidRDefault="00B41363" w:rsidP="00B41363">
      <w:pPr>
        <w:jc w:val="center"/>
        <w:rPr>
          <w:b/>
        </w:rPr>
      </w:pPr>
      <w:r w:rsidRPr="0002214D">
        <w:rPr>
          <w:b/>
        </w:rPr>
        <w:t>Contribution aux exercices de prospective 2020-2030</w:t>
      </w:r>
    </w:p>
    <w:p w:rsidR="00B41363" w:rsidRPr="00610AB2" w:rsidRDefault="00B41363" w:rsidP="00B41363">
      <w:pPr>
        <w:jc w:val="center"/>
        <w:rPr>
          <w:b/>
          <w:i/>
          <w:lang w:val="en-US"/>
        </w:rPr>
      </w:pPr>
      <w:r w:rsidRPr="00610AB2">
        <w:rPr>
          <w:b/>
          <w:i/>
          <w:lang w:val="en-US"/>
        </w:rPr>
        <w:t>Contribution to the 2020-2030 prospective reflection</w:t>
      </w:r>
    </w:p>
    <w:p w:rsidR="00B41363" w:rsidRPr="00610AB2" w:rsidRDefault="00B41363" w:rsidP="00B41363">
      <w:pPr>
        <w:jc w:val="center"/>
        <w:rPr>
          <w:b/>
          <w:lang w:val="en-US"/>
        </w:rPr>
      </w:pPr>
    </w:p>
    <w:p w:rsidR="00B41363" w:rsidRPr="00610AB2" w:rsidRDefault="00B41363" w:rsidP="00B41363">
      <w:pPr>
        <w:jc w:val="center"/>
        <w:rPr>
          <w:b/>
          <w:lang w:val="en-US"/>
        </w:rPr>
      </w:pPr>
      <w:r w:rsidRPr="00610AB2">
        <w:rPr>
          <w:b/>
          <w:lang w:val="en-US"/>
        </w:rPr>
        <w:t xml:space="preserve">Sciences </w:t>
      </w:r>
      <w:proofErr w:type="spellStart"/>
      <w:r w:rsidRPr="00610AB2">
        <w:rPr>
          <w:b/>
          <w:lang w:val="en-US"/>
        </w:rPr>
        <w:t>Nucléaires</w:t>
      </w:r>
      <w:proofErr w:type="spellEnd"/>
      <w:r w:rsidRPr="00610AB2">
        <w:rPr>
          <w:b/>
          <w:lang w:val="en-US"/>
        </w:rPr>
        <w:t xml:space="preserve"> et Vivant</w:t>
      </w:r>
    </w:p>
    <w:p w:rsidR="00B41363" w:rsidRPr="00610AB2" w:rsidRDefault="00B41363" w:rsidP="00B41363">
      <w:pPr>
        <w:jc w:val="center"/>
        <w:rPr>
          <w:i/>
          <w:lang w:val="en-US"/>
        </w:rPr>
      </w:pPr>
      <w:r w:rsidRPr="00610AB2">
        <w:rPr>
          <w:i/>
          <w:lang w:val="en-US"/>
        </w:rPr>
        <w:t>Nuclear Science and Health</w:t>
      </w:r>
    </w:p>
    <w:p w:rsidR="00B41363" w:rsidRPr="00610AB2" w:rsidRDefault="00B41363" w:rsidP="00B41363">
      <w:pPr>
        <w:rPr>
          <w:lang w:val="en-US"/>
        </w:rPr>
      </w:pPr>
    </w:p>
    <w:p w:rsidR="00B41363" w:rsidRPr="001452D8" w:rsidRDefault="00B41363" w:rsidP="00B41363">
      <w:pPr>
        <w:jc w:val="center"/>
        <w:rPr>
          <w:b/>
        </w:rPr>
      </w:pPr>
      <w:r>
        <w:rPr>
          <w:b/>
        </w:rPr>
        <w:t>Description détaillée de la contribution</w:t>
      </w:r>
    </w:p>
    <w:p w:rsidR="00B41363" w:rsidRPr="001452D8" w:rsidRDefault="00B41363" w:rsidP="00B41363">
      <w:pPr>
        <w:jc w:val="center"/>
        <w:rPr>
          <w:i/>
        </w:rPr>
      </w:pPr>
      <w:proofErr w:type="spellStart"/>
      <w:r>
        <w:rPr>
          <w:i/>
        </w:rPr>
        <w:t>Detailed</w:t>
      </w:r>
      <w:proofErr w:type="spellEnd"/>
      <w:r>
        <w:rPr>
          <w:i/>
        </w:rPr>
        <w:t xml:space="preserve"> description of contribution</w:t>
      </w:r>
    </w:p>
    <w:p w:rsidR="00B41363" w:rsidRDefault="00B41363" w:rsidP="00B41363">
      <w:pPr>
        <w:jc w:val="both"/>
        <w:rPr>
          <w:b/>
        </w:rPr>
      </w:pPr>
    </w:p>
    <w:p w:rsidR="00B41363" w:rsidRDefault="00B41363" w:rsidP="00B41363">
      <w:pPr>
        <w:jc w:val="both"/>
        <w:rPr>
          <w:b/>
        </w:rPr>
      </w:pPr>
      <w:r>
        <w:rPr>
          <w:b/>
        </w:rPr>
        <w:t>Indiquer les o</w:t>
      </w:r>
      <w:r w:rsidRPr="0002214D">
        <w:rPr>
          <w:b/>
        </w:rPr>
        <w:t>bjectifs scientifiques (2 pages max. avec figures)</w:t>
      </w:r>
    </w:p>
    <w:p w:rsidR="00B41363" w:rsidRPr="00843ABC" w:rsidRDefault="00B41363" w:rsidP="00B41363">
      <w:pPr>
        <w:jc w:val="both"/>
        <w:rPr>
          <w:b/>
          <w:i/>
        </w:rPr>
      </w:pPr>
      <w:proofErr w:type="spellStart"/>
      <w:r>
        <w:rPr>
          <w:b/>
          <w:i/>
        </w:rPr>
        <w:t>Please</w:t>
      </w:r>
      <w:proofErr w:type="spellEnd"/>
      <w:r>
        <w:rPr>
          <w:b/>
          <w:i/>
        </w:rPr>
        <w:t xml:space="preserve"> </w:t>
      </w:r>
      <w:proofErr w:type="spellStart"/>
      <w:r>
        <w:rPr>
          <w:b/>
          <w:i/>
        </w:rPr>
        <w:t>indicate</w:t>
      </w:r>
      <w:proofErr w:type="spellEnd"/>
      <w:r>
        <w:rPr>
          <w:b/>
          <w:i/>
        </w:rPr>
        <w:t xml:space="preserve"> s</w:t>
      </w:r>
      <w:r w:rsidRPr="00843ABC">
        <w:rPr>
          <w:b/>
          <w:i/>
        </w:rPr>
        <w:t xml:space="preserve">cience objectives (2 pages max. </w:t>
      </w:r>
      <w:proofErr w:type="spellStart"/>
      <w:r w:rsidRPr="00843ABC">
        <w:rPr>
          <w:b/>
          <w:i/>
        </w:rPr>
        <w:t>including</w:t>
      </w:r>
      <w:proofErr w:type="spellEnd"/>
      <w:r w:rsidRPr="00843ABC">
        <w:rPr>
          <w:b/>
          <w:i/>
        </w:rPr>
        <w:t xml:space="preserve"> figures)</w:t>
      </w:r>
    </w:p>
    <w:p w:rsidR="00B41363" w:rsidRDefault="00B41363" w:rsidP="00B41363">
      <w:pPr>
        <w:jc w:val="both"/>
      </w:pPr>
    </w:p>
    <w:p w:rsidR="00B41363" w:rsidRPr="00610AB2" w:rsidRDefault="00B41363" w:rsidP="00B41363">
      <w:pPr>
        <w:jc w:val="both"/>
      </w:pPr>
      <w:r w:rsidRPr="001E01A9">
        <w:t xml:space="preserve">Merci </w:t>
      </w:r>
      <w:r>
        <w:t>de préciser</w:t>
      </w:r>
      <w:r w:rsidRPr="001E01A9">
        <w:t xml:space="preserve"> le positionnement des objectifs dans l’état de l’art (échelle internationale) ainsi que le</w:t>
      </w:r>
      <w:r>
        <w:t>s</w:t>
      </w:r>
      <w:r w:rsidRPr="001E01A9">
        <w:t xml:space="preserve"> li</w:t>
      </w:r>
      <w:r>
        <w:t>ens avec des projets existants et/ou futurs.</w:t>
      </w:r>
    </w:p>
    <w:p w:rsidR="00B41363" w:rsidRPr="001E01A9" w:rsidRDefault="00B41363" w:rsidP="00B41363">
      <w:pPr>
        <w:jc w:val="both"/>
        <w:rPr>
          <w:i/>
          <w:lang w:val="en-US"/>
        </w:rPr>
      </w:pPr>
      <w:r w:rsidRPr="001E01A9">
        <w:rPr>
          <w:i/>
          <w:lang w:val="en-US"/>
        </w:rPr>
        <w:t xml:space="preserve">Please include description of motivation </w:t>
      </w:r>
      <w:r w:rsidR="00CA0A18">
        <w:rPr>
          <w:i/>
          <w:lang w:val="en-US"/>
        </w:rPr>
        <w:t>within</w:t>
      </w:r>
      <w:r w:rsidRPr="001E01A9">
        <w:rPr>
          <w:i/>
          <w:lang w:val="en-US"/>
        </w:rPr>
        <w:t xml:space="preserve"> (international) state-of-the-art, as well as link</w:t>
      </w:r>
      <w:r>
        <w:rPr>
          <w:i/>
          <w:lang w:val="en-US"/>
        </w:rPr>
        <w:t>s</w:t>
      </w:r>
      <w:r w:rsidRPr="001E01A9">
        <w:rPr>
          <w:i/>
          <w:lang w:val="en-US"/>
        </w:rPr>
        <w:t xml:space="preserve"> to other projects (existing or foreseen). </w:t>
      </w:r>
    </w:p>
    <w:p w:rsidR="00B41363" w:rsidRPr="00CD3A70" w:rsidRDefault="00B41363" w:rsidP="00B41363">
      <w:pPr>
        <w:rPr>
          <w:lang w:val="en-US"/>
        </w:rPr>
      </w:pPr>
    </w:p>
    <w:p w:rsidR="00B41363" w:rsidRDefault="00B41363" w:rsidP="00B41363">
      <w:pPr>
        <w:jc w:val="center"/>
      </w:pPr>
      <w:r>
        <w:t>*</w:t>
      </w:r>
    </w:p>
    <w:p w:rsidR="00B41363" w:rsidRDefault="00B41363" w:rsidP="00B41363">
      <w:pPr>
        <w:jc w:val="center"/>
      </w:pPr>
    </w:p>
    <w:p w:rsidR="00B41363" w:rsidRDefault="00B41363" w:rsidP="00B41363">
      <w:pPr>
        <w:jc w:val="center"/>
        <w:rPr>
          <w:b/>
          <w:color w:val="FF0000"/>
        </w:rPr>
      </w:pPr>
      <w:r w:rsidRPr="00D23D89">
        <w:rPr>
          <w:b/>
        </w:rPr>
        <w:t xml:space="preserve">Merci de renvoyer ce document à </w:t>
      </w:r>
      <w:hyperlink r:id="rId8" w:history="1">
        <w:r w:rsidRPr="004D4F78">
          <w:rPr>
            <w:rStyle w:val="Hyperlink"/>
          </w:rPr>
          <w:t>PROSP2020-GT10-COPIL-L@IN2P3.FR</w:t>
        </w:r>
      </w:hyperlink>
      <w:r>
        <w:t xml:space="preserve"> </w:t>
      </w:r>
      <w:r w:rsidRPr="00D23D89">
        <w:rPr>
          <w:b/>
        </w:rPr>
        <w:t xml:space="preserve">avant le </w:t>
      </w:r>
      <w:r>
        <w:rPr>
          <w:b/>
        </w:rPr>
        <w:br/>
      </w:r>
      <w:r>
        <w:rPr>
          <w:b/>
          <w:color w:val="FF0000"/>
        </w:rPr>
        <w:t>1</w:t>
      </w:r>
      <w:r w:rsidRPr="00913328">
        <w:rPr>
          <w:b/>
          <w:color w:val="FF0000"/>
        </w:rPr>
        <w:t>er</w:t>
      </w:r>
      <w:r>
        <w:rPr>
          <w:b/>
          <w:color w:val="FF0000"/>
        </w:rPr>
        <w:t xml:space="preserve"> novembre</w:t>
      </w:r>
      <w:r w:rsidRPr="00D23D89">
        <w:rPr>
          <w:b/>
          <w:color w:val="FF0000"/>
        </w:rPr>
        <w:t xml:space="preserve"> 2019</w:t>
      </w:r>
    </w:p>
    <w:p w:rsidR="00B41363" w:rsidRPr="00D23D89" w:rsidRDefault="00B41363" w:rsidP="00B41363">
      <w:pPr>
        <w:jc w:val="center"/>
        <w:rPr>
          <w:b/>
        </w:rPr>
      </w:pPr>
    </w:p>
    <w:p w:rsidR="00B41363" w:rsidRDefault="00B41363" w:rsidP="00B41363">
      <w:pPr>
        <w:jc w:val="center"/>
        <w:rPr>
          <w:b/>
          <w:color w:val="FF0000"/>
          <w:lang w:val="en-US"/>
        </w:rPr>
      </w:pPr>
      <w:r w:rsidRPr="00D23D89">
        <w:rPr>
          <w:b/>
          <w:lang w:val="en-US"/>
        </w:rPr>
        <w:t xml:space="preserve">Please send this document to </w:t>
      </w:r>
      <w:hyperlink r:id="rId9" w:history="1">
        <w:r w:rsidRPr="006E4EAC">
          <w:rPr>
            <w:rStyle w:val="Hyperlink"/>
            <w:lang w:val="en-US"/>
          </w:rPr>
          <w:t>PROSP2020-GT10-COPIL-L@IN2P3.FR</w:t>
        </w:r>
      </w:hyperlink>
      <w:r w:rsidRPr="006E4EAC">
        <w:rPr>
          <w:lang w:val="en-US"/>
        </w:rPr>
        <w:t xml:space="preserve"> </w:t>
      </w:r>
      <w:r w:rsidRPr="00D23D89">
        <w:rPr>
          <w:b/>
          <w:lang w:val="en-US"/>
        </w:rPr>
        <w:t xml:space="preserve">before </w:t>
      </w:r>
      <w:r>
        <w:rPr>
          <w:b/>
          <w:lang w:val="en-US"/>
        </w:rPr>
        <w:br/>
      </w:r>
      <w:proofErr w:type="spellStart"/>
      <w:r>
        <w:rPr>
          <w:b/>
          <w:color w:val="FF0000"/>
          <w:lang w:val="en-US"/>
        </w:rPr>
        <w:t>november</w:t>
      </w:r>
      <w:proofErr w:type="spellEnd"/>
      <w:r>
        <w:rPr>
          <w:b/>
          <w:color w:val="FF0000"/>
          <w:lang w:val="en-US"/>
        </w:rPr>
        <w:t xml:space="preserve"> </w:t>
      </w:r>
      <w:proofErr w:type="gramStart"/>
      <w:r>
        <w:rPr>
          <w:b/>
          <w:color w:val="FF0000"/>
          <w:lang w:val="en-US"/>
        </w:rPr>
        <w:t>1st</w:t>
      </w:r>
      <w:proofErr w:type="gramEnd"/>
      <w:r w:rsidRPr="00D23D89">
        <w:rPr>
          <w:b/>
          <w:color w:val="FF0000"/>
          <w:lang w:val="en-US"/>
        </w:rPr>
        <w:t>, 2019</w:t>
      </w:r>
    </w:p>
    <w:p w:rsidR="00B41363" w:rsidRDefault="00B41363" w:rsidP="00B41363">
      <w:pPr>
        <w:jc w:val="center"/>
        <w:rPr>
          <w:b/>
          <w:color w:val="FF0000"/>
          <w:lang w:val="en-US"/>
        </w:rPr>
      </w:pPr>
    </w:p>
    <w:p w:rsidR="00B41363" w:rsidRPr="00B41363" w:rsidRDefault="00B41363" w:rsidP="00B41363">
      <w:pPr>
        <w:rPr>
          <w:b/>
          <w:color w:val="FF0000"/>
          <w:lang w:val="en-US"/>
        </w:rPr>
      </w:pPr>
      <w:r w:rsidRPr="00015796">
        <w:rPr>
          <w:lang w:val="en-US"/>
        </w:rPr>
        <w:t>All contributions will be published on the website</w:t>
      </w:r>
      <w:r>
        <w:rPr>
          <w:lang w:val="en-US"/>
        </w:rPr>
        <w:t xml:space="preserve"> </w:t>
      </w:r>
      <w:r w:rsidRPr="00015796">
        <w:rPr>
          <w:lang w:val="en-US"/>
        </w:rPr>
        <w:t>htt</w:t>
      </w:r>
      <w:r>
        <w:rPr>
          <w:lang w:val="en-US"/>
        </w:rPr>
        <w:t>ps://prospectives2020.in2p3.fr/</w:t>
      </w:r>
      <w:r w:rsidRPr="00015796">
        <w:rPr>
          <w:lang w:val="en-US"/>
        </w:rPr>
        <w:t xml:space="preserve"> and will be a</w:t>
      </w:r>
      <w:r>
        <w:rPr>
          <w:lang w:val="en-US"/>
        </w:rPr>
        <w:t xml:space="preserve">nalyzed in order to regroup and </w:t>
      </w:r>
      <w:r w:rsidRPr="00015796">
        <w:rPr>
          <w:lang w:val="en-US"/>
        </w:rPr>
        <w:t>highlight the topics proposed for an o</w:t>
      </w:r>
      <w:r>
        <w:rPr>
          <w:lang w:val="en-US"/>
        </w:rPr>
        <w:t xml:space="preserve">ral presentation at the seminar </w:t>
      </w:r>
      <w:r w:rsidRPr="00015796">
        <w:rPr>
          <w:lang w:val="en-US"/>
        </w:rPr>
        <w:t>thematic at the IPHC. The seminar program will be pu</w:t>
      </w:r>
      <w:r>
        <w:rPr>
          <w:lang w:val="en-US"/>
        </w:rPr>
        <w:t xml:space="preserve">blished in early December 2019. </w:t>
      </w:r>
      <w:r w:rsidRPr="00015796">
        <w:rPr>
          <w:lang w:val="en-US"/>
        </w:rPr>
        <w:t>The conclusions and synthesis of the seminar (approximate</w:t>
      </w:r>
      <w:r>
        <w:rPr>
          <w:lang w:val="en-US"/>
        </w:rPr>
        <w:t xml:space="preserve">ly 5 pages) will be reported at </w:t>
      </w:r>
      <w:r w:rsidRPr="00015796">
        <w:rPr>
          <w:lang w:val="en-US"/>
        </w:rPr>
        <w:t>symposium of restitution on all the topics, whi</w:t>
      </w:r>
      <w:r>
        <w:rPr>
          <w:lang w:val="en-US"/>
        </w:rPr>
        <w:t xml:space="preserve">ch will take place in September </w:t>
      </w:r>
      <w:r w:rsidRPr="00015796">
        <w:rPr>
          <w:lang w:val="en-US"/>
        </w:rPr>
        <w:t>2020.</w:t>
      </w:r>
    </w:p>
    <w:p w:rsidR="00B41363" w:rsidRPr="00015796" w:rsidRDefault="00B41363" w:rsidP="00B41363">
      <w:pPr>
        <w:jc w:val="both"/>
        <w:rPr>
          <w:lang w:val="en-US"/>
        </w:rPr>
      </w:pPr>
      <w:r w:rsidRPr="00015796">
        <w:rPr>
          <w:lang w:val="en-US"/>
        </w:rPr>
        <w:t>At the end of the restitution symposium, a final document expressing all the priorities</w:t>
      </w:r>
      <w:r>
        <w:rPr>
          <w:lang w:val="en-US"/>
        </w:rPr>
        <w:t xml:space="preserve"> </w:t>
      </w:r>
      <w:r w:rsidRPr="00015796">
        <w:rPr>
          <w:lang w:val="en-US"/>
        </w:rPr>
        <w:t xml:space="preserve">will be drafted. Its publication is scheduled </w:t>
      </w:r>
      <w:r>
        <w:rPr>
          <w:lang w:val="en-US"/>
        </w:rPr>
        <w:t xml:space="preserve">for October-November 2020. This </w:t>
      </w:r>
      <w:r w:rsidRPr="00015796">
        <w:rPr>
          <w:lang w:val="en-US"/>
        </w:rPr>
        <w:t>document will then be forwarded to universities and organizations, as well as to our Min</w:t>
      </w:r>
      <w:r>
        <w:rPr>
          <w:lang w:val="en-US"/>
        </w:rPr>
        <w:t xml:space="preserve">istry of </w:t>
      </w:r>
      <w:r w:rsidRPr="00015796">
        <w:rPr>
          <w:lang w:val="en-US"/>
        </w:rPr>
        <w:t>guardianship.</w:t>
      </w:r>
    </w:p>
    <w:p w:rsidR="00B41363" w:rsidRPr="00015796" w:rsidRDefault="00B41363" w:rsidP="00B41363">
      <w:pPr>
        <w:jc w:val="both"/>
        <w:rPr>
          <w:lang w:val="en-US"/>
        </w:rPr>
      </w:pPr>
      <w:r w:rsidRPr="00015796">
        <w:rPr>
          <w:lang w:val="en-US"/>
        </w:rPr>
        <w:t>We thank you for your involvement i</w:t>
      </w:r>
      <w:r>
        <w:rPr>
          <w:lang w:val="en-US"/>
        </w:rPr>
        <w:t xml:space="preserve">n this important moment for our </w:t>
      </w:r>
      <w:r w:rsidRPr="00015796">
        <w:rPr>
          <w:lang w:val="en-US"/>
        </w:rPr>
        <w:t>disciplined.</w:t>
      </w:r>
    </w:p>
    <w:p w:rsidR="00B41363" w:rsidRPr="00015796" w:rsidRDefault="00B41363" w:rsidP="00B41363">
      <w:pPr>
        <w:jc w:val="both"/>
        <w:rPr>
          <w:lang w:val="en-US"/>
        </w:rPr>
      </w:pPr>
      <w:r w:rsidRPr="00015796">
        <w:rPr>
          <w:lang w:val="en-US"/>
        </w:rPr>
        <w:t>The working group in charge of the "Nuclear and Living Sciences" theme:</w:t>
      </w:r>
    </w:p>
    <w:p w:rsidR="00B41363" w:rsidRPr="00015796" w:rsidRDefault="00B41363" w:rsidP="00B41363">
      <w:pPr>
        <w:jc w:val="both"/>
      </w:pPr>
      <w:r w:rsidRPr="00015796">
        <w:t xml:space="preserve">David Brasse, Sylvain David, Fanny </w:t>
      </w:r>
      <w:proofErr w:type="spellStart"/>
      <w:r w:rsidRPr="00015796">
        <w:t>Farget</w:t>
      </w:r>
      <w:proofErr w:type="spellEnd"/>
      <w:r w:rsidRPr="00015796">
        <w:t xml:space="preserve">, </w:t>
      </w:r>
      <w:proofErr w:type="spellStart"/>
      <w:r w:rsidRPr="00015796">
        <w:t>Sebastien</w:t>
      </w:r>
      <w:proofErr w:type="spellEnd"/>
      <w:r w:rsidRPr="00015796">
        <w:t xml:space="preserve"> </w:t>
      </w:r>
      <w:proofErr w:type="spellStart"/>
      <w:r w:rsidRPr="00015796">
        <w:t>Incerti</w:t>
      </w:r>
      <w:proofErr w:type="spellEnd"/>
      <w:r w:rsidRPr="00015796">
        <w:t xml:space="preserve">, Lydia </w:t>
      </w:r>
      <w:proofErr w:type="spellStart"/>
      <w:r w:rsidRPr="00015796">
        <w:t>Maigne</w:t>
      </w:r>
      <w:proofErr w:type="spellEnd"/>
      <w:r w:rsidRPr="00015796">
        <w:t>, Marc Rousseau,</w:t>
      </w:r>
    </w:p>
    <w:p w:rsidR="00B41363" w:rsidRPr="00280C18" w:rsidRDefault="00B41363" w:rsidP="00B41363">
      <w:pPr>
        <w:jc w:val="both"/>
      </w:pPr>
      <w:r w:rsidRPr="00280C18">
        <w:t xml:space="preserve">Hervé </w:t>
      </w:r>
      <w:proofErr w:type="spellStart"/>
      <w:r w:rsidRPr="00280C18">
        <w:t>Seznec</w:t>
      </w:r>
      <w:proofErr w:type="spellEnd"/>
      <w:r w:rsidRPr="00280C18">
        <w:t>.</w:t>
      </w:r>
    </w:p>
    <w:p w:rsidR="00B41363" w:rsidRPr="00280C18" w:rsidRDefault="00B41363" w:rsidP="00B41363">
      <w:pPr>
        <w:jc w:val="both"/>
      </w:pPr>
    </w:p>
    <w:p w:rsidR="00B41363" w:rsidRPr="00FB6BD1" w:rsidRDefault="00B41363" w:rsidP="00B41363">
      <w:pPr>
        <w:jc w:val="both"/>
      </w:pPr>
      <w:r w:rsidRPr="00FB6BD1">
        <w:t>E-mail: PROSP2020-GT10-COPIL-L@IN2P3.FR</w:t>
      </w:r>
    </w:p>
    <w:p w:rsidR="00B41363" w:rsidRPr="00015796" w:rsidRDefault="00B41363" w:rsidP="00B41363">
      <w:pPr>
        <w:jc w:val="both"/>
        <w:rPr>
          <w:lang w:val="en-US"/>
        </w:rPr>
      </w:pPr>
      <w:r w:rsidRPr="00015796">
        <w:rPr>
          <w:lang w:val="en-US"/>
        </w:rPr>
        <w:t>Web: https://prospectives2020.in2p3.fr/</w:t>
      </w:r>
    </w:p>
    <w:p w:rsidR="00B41363" w:rsidRDefault="00B41363" w:rsidP="00B41363">
      <w:pPr>
        <w:jc w:val="both"/>
        <w:rPr>
          <w:lang w:val="en-US"/>
        </w:rPr>
      </w:pPr>
      <w:r w:rsidRPr="00015796">
        <w:rPr>
          <w:lang w:val="en-US"/>
        </w:rPr>
        <w:t>Clarification: The submission of a contribution in response to this call does not attribute any</w:t>
      </w:r>
      <w:r>
        <w:rPr>
          <w:lang w:val="en-US"/>
        </w:rPr>
        <w:t xml:space="preserve"> </w:t>
      </w:r>
      <w:r w:rsidRPr="00015796">
        <w:rPr>
          <w:lang w:val="en-US"/>
        </w:rPr>
        <w:t>intellectual property to the authors on the ideas con</w:t>
      </w:r>
      <w:r>
        <w:rPr>
          <w:lang w:val="en-US"/>
        </w:rPr>
        <w:t>tained in the contribution. The c</w:t>
      </w:r>
      <w:r w:rsidRPr="00015796">
        <w:rPr>
          <w:lang w:val="en-US"/>
        </w:rPr>
        <w:t>ontributions received will be made public shortly after t</w:t>
      </w:r>
      <w:r>
        <w:rPr>
          <w:lang w:val="en-US"/>
        </w:rPr>
        <w:t xml:space="preserve">he deadline for submission. For </w:t>
      </w:r>
      <w:r w:rsidRPr="00015796">
        <w:rPr>
          <w:lang w:val="en-US"/>
        </w:rPr>
        <w:t>this reason, no content of the contribution should be of a confidential nature.</w:t>
      </w:r>
    </w:p>
    <w:p w:rsidR="00B41363" w:rsidRPr="00280C18" w:rsidRDefault="00B41363" w:rsidP="00B41363">
      <w:pPr>
        <w:rPr>
          <w:lang w:val="en-US"/>
        </w:rPr>
      </w:pPr>
    </w:p>
    <w:p w:rsidR="00B41363" w:rsidRDefault="00B41363">
      <w:pPr>
        <w:rPr>
          <w:b/>
          <w:sz w:val="28"/>
          <w:lang w:val="en-US"/>
        </w:rPr>
      </w:pPr>
    </w:p>
    <w:p w:rsidR="00870DDD" w:rsidRPr="009730E0" w:rsidRDefault="00870DDD" w:rsidP="00746F90">
      <w:pPr>
        <w:jc w:val="center"/>
        <w:rPr>
          <w:b/>
          <w:sz w:val="28"/>
          <w:lang w:val="en-US"/>
        </w:rPr>
      </w:pPr>
      <w:r w:rsidRPr="009730E0">
        <w:rPr>
          <w:b/>
          <w:sz w:val="28"/>
          <w:lang w:val="en-US"/>
        </w:rPr>
        <w:lastRenderedPageBreak/>
        <w:t>Short-lived radioactive ion beams for radiation therapy and monitoring</w:t>
      </w:r>
    </w:p>
    <w:p w:rsidR="00870DDD" w:rsidRPr="00074CAB" w:rsidRDefault="00870DDD" w:rsidP="00746F90">
      <w:pPr>
        <w:jc w:val="center"/>
        <w:rPr>
          <w:sz w:val="32"/>
          <w:lang w:val="en-US"/>
        </w:rPr>
      </w:pPr>
    </w:p>
    <w:p w:rsidR="00870DDD" w:rsidRDefault="00870DDD" w:rsidP="00DE7440">
      <w:pPr>
        <w:ind w:firstLine="708"/>
        <w:jc w:val="both"/>
        <w:rPr>
          <w:lang w:val="en-US"/>
        </w:rPr>
      </w:pPr>
      <w:r>
        <w:rPr>
          <w:lang w:val="en-US"/>
        </w:rPr>
        <w:t xml:space="preserve">Cancer treatment by irradiation with light charged particle beams, such as protons, helium and carbon ions, </w:t>
      </w:r>
      <w:r w:rsidR="00F21DE1">
        <w:rPr>
          <w:lang w:val="en-US"/>
        </w:rPr>
        <w:t xml:space="preserve">possesses </w:t>
      </w:r>
      <w:r w:rsidR="00F21DE1">
        <w:rPr>
          <w:lang w:val="en-US"/>
        </w:rPr>
        <w:t>several important advantages</w:t>
      </w:r>
      <w:r>
        <w:rPr>
          <w:lang w:val="en-US"/>
        </w:rPr>
        <w:t xml:space="preserve"> compared to the conventional irradiation with X-rays</w:t>
      </w:r>
      <w:r w:rsidR="00840A48">
        <w:rPr>
          <w:lang w:val="en-US"/>
        </w:rPr>
        <w:t xml:space="preserve"> </w:t>
      </w:r>
      <w:r w:rsidR="00840A48" w:rsidRPr="00840A48">
        <w:rPr>
          <w:lang w:val="en-US"/>
        </w:rPr>
        <w:t>[</w:t>
      </w:r>
      <w:r w:rsidR="00FE5315">
        <w:rPr>
          <w:lang w:val="en-US"/>
        </w:rPr>
        <w:t xml:space="preserve">Nup14, </w:t>
      </w:r>
      <w:r w:rsidR="00840A48" w:rsidRPr="00840A48">
        <w:rPr>
          <w:lang w:val="en-US"/>
        </w:rPr>
        <w:t>Dur17]</w:t>
      </w:r>
      <w:r>
        <w:rPr>
          <w:lang w:val="en-US"/>
        </w:rPr>
        <w:t xml:space="preserve">. The first one is related to the precision of the dose delivery including the finite range in tissue and the maximum dose deposition at the Bragg peak region, near the stopping position of the particles. This increases the radiological </w:t>
      </w:r>
      <w:r w:rsidR="00AF156E">
        <w:rPr>
          <w:lang w:val="en-US"/>
        </w:rPr>
        <w:t>effect inside</w:t>
      </w:r>
      <w:r>
        <w:rPr>
          <w:lang w:val="en-US"/>
        </w:rPr>
        <w:t xml:space="preserve"> the tumor while preserving the healthy tissue. Another important advantage </w:t>
      </w:r>
      <w:r w:rsidR="00436193">
        <w:rPr>
          <w:lang w:val="en-US"/>
        </w:rPr>
        <w:t>of charged particle irradiation, which increases with the</w:t>
      </w:r>
      <w:bookmarkStart w:id="0" w:name="_GoBack"/>
      <w:bookmarkEnd w:id="0"/>
      <w:r w:rsidR="00436193">
        <w:rPr>
          <w:lang w:val="en-US"/>
        </w:rPr>
        <w:t xml:space="preserve"> mass of the ion, </w:t>
      </w:r>
      <w:r w:rsidR="00AF156E">
        <w:rPr>
          <w:lang w:val="en-US"/>
        </w:rPr>
        <w:t>arises from</w:t>
      </w:r>
      <w:r w:rsidR="00436193">
        <w:rPr>
          <w:lang w:val="en-US"/>
        </w:rPr>
        <w:t xml:space="preserve"> the higher</w:t>
      </w:r>
      <w:r>
        <w:rPr>
          <w:lang w:val="en-US"/>
        </w:rPr>
        <w:t xml:space="preserve"> relative biological effectiveness (RBE) compared to the same dose delivered by X-rays. Additionally, heavier ions can be used for treatment of oxygen deficient tumors (radio-resistant cancers), which normally do not respond to conventional radiotherapy</w:t>
      </w:r>
      <w:r w:rsidR="00796F53">
        <w:rPr>
          <w:lang w:val="en-US"/>
        </w:rPr>
        <w:t xml:space="preserve"> </w:t>
      </w:r>
      <w:r w:rsidR="00796F53" w:rsidRPr="00796F53">
        <w:rPr>
          <w:lang w:val="en-US"/>
        </w:rPr>
        <w:t>[Uhl14]</w:t>
      </w:r>
      <w:r>
        <w:rPr>
          <w:lang w:val="en-US"/>
        </w:rPr>
        <w:t xml:space="preserve">. Due to the advantages of charged particle irradiation, there is an increasing demand for research and building of new hadron therapy centers </w:t>
      </w:r>
      <w:r w:rsidR="00995975">
        <w:rPr>
          <w:lang w:val="en-US"/>
        </w:rPr>
        <w:t>in Europe</w:t>
      </w:r>
      <w:r w:rsidR="00796F53">
        <w:rPr>
          <w:lang w:val="en-US"/>
        </w:rPr>
        <w:t xml:space="preserve"> </w:t>
      </w:r>
      <w:r w:rsidR="00AF156E" w:rsidRPr="00AF156E">
        <w:rPr>
          <w:lang w:val="en-US"/>
        </w:rPr>
        <w:t>[Dos18]</w:t>
      </w:r>
      <w:r w:rsidR="00995975">
        <w:rPr>
          <w:lang w:val="en-US"/>
        </w:rPr>
        <w:t xml:space="preserve"> and globally</w:t>
      </w:r>
      <w:r>
        <w:rPr>
          <w:lang w:val="en-US"/>
        </w:rPr>
        <w:t>.</w:t>
      </w:r>
    </w:p>
    <w:p w:rsidR="00870DDD" w:rsidRDefault="00870DDD" w:rsidP="00DE7440">
      <w:pPr>
        <w:ind w:firstLine="705"/>
        <w:jc w:val="both"/>
        <w:rPr>
          <w:lang w:val="en-US"/>
        </w:rPr>
      </w:pPr>
      <w:r>
        <w:rPr>
          <w:lang w:val="en-US"/>
        </w:rPr>
        <w:t>The present proposal is aiming at enhancing even further the advantages of hadron therapy by using light, short-lived radioactive ion beams (RIB) for irradiation. Light short-lived isotopes are usually beta decaying to isotopes which can be either stable or which undergo another decay before reaching stability. The recoiling daughter nuclei and the emitted charged particles share the reaction energy, which induces additional damage inside the tumor cells</w:t>
      </w:r>
      <w:r w:rsidR="00906D8C">
        <w:rPr>
          <w:lang w:val="en-US"/>
        </w:rPr>
        <w:t xml:space="preserve"> (see figure)</w:t>
      </w:r>
      <w:r>
        <w:rPr>
          <w:lang w:val="en-US"/>
        </w:rPr>
        <w:t>. The presence of the secondary energetic particles inside the tumor cells leads to the following possible advantages associated with RIB irradiation.</w:t>
      </w:r>
    </w:p>
    <w:p w:rsidR="00870DDD" w:rsidRDefault="00870DDD" w:rsidP="006B2023">
      <w:pPr>
        <w:pStyle w:val="ListParagraph"/>
        <w:numPr>
          <w:ilvl w:val="0"/>
          <w:numId w:val="2"/>
        </w:numPr>
        <w:jc w:val="both"/>
        <w:rPr>
          <w:lang w:val="en-US"/>
        </w:rPr>
      </w:pPr>
      <w:r>
        <w:rPr>
          <w:lang w:val="en-US"/>
        </w:rPr>
        <w:t xml:space="preserve">The stopping of heavier secondary decay particles induces an additional energy transfer in the tumor but with a minimal damage to the healthy tissue. This leads to an </w:t>
      </w:r>
      <w:r w:rsidR="005877D2">
        <w:rPr>
          <w:b/>
          <w:lang w:val="en-US"/>
        </w:rPr>
        <w:t xml:space="preserve">increased dose deposition in </w:t>
      </w:r>
      <w:r w:rsidR="00F01610" w:rsidRPr="00F01610">
        <w:rPr>
          <w:b/>
          <w:lang w:val="en-US"/>
        </w:rPr>
        <w:t>situ</w:t>
      </w:r>
      <w:r w:rsidR="00F01610">
        <w:rPr>
          <w:b/>
          <w:lang w:val="en-US"/>
        </w:rPr>
        <w:t xml:space="preserve"> (DDIS)</w:t>
      </w:r>
      <w:r w:rsidR="00F01610">
        <w:rPr>
          <w:lang w:val="en-US"/>
        </w:rPr>
        <w:t xml:space="preserve"> providing an</w:t>
      </w:r>
      <w:r w:rsidR="00F01610">
        <w:rPr>
          <w:b/>
          <w:lang w:val="en-US"/>
        </w:rPr>
        <w:t xml:space="preserve"> </w:t>
      </w:r>
      <w:r>
        <w:rPr>
          <w:b/>
          <w:lang w:val="en-US"/>
        </w:rPr>
        <w:t>enhanced</w:t>
      </w:r>
      <w:r w:rsidRPr="000E1082">
        <w:rPr>
          <w:b/>
          <w:lang w:val="en-US"/>
        </w:rPr>
        <w:t xml:space="preserve"> biological effect</w:t>
      </w:r>
      <w:r>
        <w:rPr>
          <w:b/>
          <w:lang w:val="en-US"/>
        </w:rPr>
        <w:t>iveness</w:t>
      </w:r>
      <w:r w:rsidRPr="000E1082">
        <w:rPr>
          <w:b/>
          <w:lang w:val="en-US"/>
        </w:rPr>
        <w:t xml:space="preserve"> </w:t>
      </w:r>
      <w:r w:rsidR="00F01610">
        <w:rPr>
          <w:b/>
          <w:lang w:val="en-US"/>
        </w:rPr>
        <w:t xml:space="preserve">of RIB </w:t>
      </w:r>
      <w:r w:rsidRPr="000E1082">
        <w:rPr>
          <w:b/>
          <w:lang w:val="en-US"/>
        </w:rPr>
        <w:t>compared to b</w:t>
      </w:r>
      <w:r>
        <w:rPr>
          <w:b/>
          <w:lang w:val="en-US"/>
        </w:rPr>
        <w:t>oth X-rays</w:t>
      </w:r>
      <w:r w:rsidR="009109E0">
        <w:rPr>
          <w:b/>
          <w:lang w:val="en-US"/>
        </w:rPr>
        <w:t>, protons</w:t>
      </w:r>
      <w:r>
        <w:rPr>
          <w:b/>
          <w:lang w:val="en-US"/>
        </w:rPr>
        <w:t xml:space="preserve"> and stable light ion beams</w:t>
      </w:r>
      <w:r w:rsidR="00F01610">
        <w:rPr>
          <w:lang w:val="en-US"/>
        </w:rPr>
        <w:t xml:space="preserve">. </w:t>
      </w:r>
    </w:p>
    <w:p w:rsidR="00870DDD" w:rsidRDefault="00870DDD" w:rsidP="006B2023">
      <w:pPr>
        <w:pStyle w:val="ListParagraph"/>
        <w:numPr>
          <w:ilvl w:val="0"/>
          <w:numId w:val="2"/>
        </w:numPr>
        <w:jc w:val="both"/>
        <w:rPr>
          <w:lang w:val="en-US"/>
        </w:rPr>
      </w:pPr>
      <w:r>
        <w:rPr>
          <w:lang w:val="en-US"/>
        </w:rPr>
        <w:t xml:space="preserve">Due to the origins of the decays being the </w:t>
      </w:r>
      <w:r w:rsidR="00995975">
        <w:rPr>
          <w:lang w:val="en-US"/>
        </w:rPr>
        <w:t>stopping positions of the RIB</w:t>
      </w:r>
      <w:r>
        <w:rPr>
          <w:lang w:val="en-US"/>
        </w:rPr>
        <w:t xml:space="preserve"> and due to the broad energy spectrum of the secondary particles </w:t>
      </w:r>
      <w:r w:rsidR="009109E0">
        <w:rPr>
          <w:lang w:val="en-US"/>
        </w:rPr>
        <w:t>[</w:t>
      </w:r>
      <w:r w:rsidR="00995975">
        <w:rPr>
          <w:lang w:val="en-US"/>
        </w:rPr>
        <w:t>Bar89</w:t>
      </w:r>
      <w:r w:rsidR="009109E0">
        <w:rPr>
          <w:lang w:val="en-US"/>
        </w:rPr>
        <w:t xml:space="preserve">] </w:t>
      </w:r>
      <w:r>
        <w:rPr>
          <w:lang w:val="en-US"/>
        </w:rPr>
        <w:t xml:space="preserve">it is possible to achieve </w:t>
      </w:r>
      <w:r w:rsidR="00995975">
        <w:rPr>
          <w:lang w:val="en-US"/>
        </w:rPr>
        <w:t xml:space="preserve">a </w:t>
      </w:r>
      <w:r>
        <w:rPr>
          <w:lang w:val="en-US"/>
        </w:rPr>
        <w:t xml:space="preserve">uniform dose </w:t>
      </w:r>
      <w:r w:rsidR="00995975">
        <w:rPr>
          <w:lang w:val="en-US"/>
        </w:rPr>
        <w:t xml:space="preserve">distribution in situ </w:t>
      </w:r>
      <w:r>
        <w:rPr>
          <w:lang w:val="en-US"/>
        </w:rPr>
        <w:t xml:space="preserve">by combining with the spread-out Bragg peak (SOBP) of the RIB, but requiring </w:t>
      </w:r>
      <w:r w:rsidRPr="004521C6">
        <w:rPr>
          <w:b/>
          <w:lang w:val="en-US"/>
        </w:rPr>
        <w:t>less beam energy steps for the same depth of the tumor</w:t>
      </w:r>
      <w:r>
        <w:rPr>
          <w:b/>
          <w:lang w:val="en-US"/>
        </w:rPr>
        <w:t>, thus lowering the dose in the healthy tissue upstream the tumor</w:t>
      </w:r>
      <w:r>
        <w:rPr>
          <w:lang w:val="en-US"/>
        </w:rPr>
        <w:t>.</w:t>
      </w:r>
    </w:p>
    <w:p w:rsidR="00870DDD" w:rsidRDefault="004E466D" w:rsidP="006B2023">
      <w:pPr>
        <w:pStyle w:val="ListParagraph"/>
        <w:numPr>
          <w:ilvl w:val="0"/>
          <w:numId w:val="2"/>
        </w:numPr>
        <w:jc w:val="both"/>
        <w:rPr>
          <w:lang w:val="en-US"/>
        </w:rPr>
      </w:pPr>
      <w:r>
        <w:rPr>
          <w:lang w:val="en-US"/>
        </w:rPr>
        <w:t>Detection of either</w:t>
      </w:r>
      <w:r w:rsidR="00870DDD">
        <w:rPr>
          <w:lang w:val="en-US"/>
        </w:rPr>
        <w:t xml:space="preserve"> </w:t>
      </w:r>
      <w:r>
        <w:rPr>
          <w:lang w:val="en-US"/>
        </w:rPr>
        <w:t xml:space="preserve">511 </w:t>
      </w:r>
      <w:proofErr w:type="spellStart"/>
      <w:r>
        <w:rPr>
          <w:lang w:val="en-US"/>
        </w:rPr>
        <w:t>keV</w:t>
      </w:r>
      <w:proofErr w:type="spellEnd"/>
      <w:r>
        <w:rPr>
          <w:lang w:val="en-US"/>
        </w:rPr>
        <w:t xml:space="preserve"> gamma pairs from positron annihilation</w:t>
      </w:r>
      <w:r w:rsidR="00870DDD">
        <w:rPr>
          <w:lang w:val="en-US"/>
        </w:rPr>
        <w:t xml:space="preserve"> </w:t>
      </w:r>
      <w:r>
        <w:rPr>
          <w:lang w:val="en-US"/>
        </w:rPr>
        <w:t>(</w:t>
      </w:r>
      <w:r w:rsidR="00870DDD">
        <w:rPr>
          <w:lang w:val="en-US"/>
        </w:rPr>
        <w:t xml:space="preserve">in the case of low endpoint energy </w:t>
      </w:r>
      <w:r w:rsidR="00870DDD" w:rsidRPr="00B15145">
        <w:rPr>
          <w:rFonts w:ascii="Symbol" w:hAnsi="Symbol"/>
          <w:lang w:val="en-US"/>
        </w:rPr>
        <w:t></w:t>
      </w:r>
      <w:r w:rsidR="00870DDD" w:rsidRPr="006B7845">
        <w:rPr>
          <w:vertAlign w:val="superscript"/>
          <w:lang w:val="en-US"/>
        </w:rPr>
        <w:t>+</w:t>
      </w:r>
      <w:r w:rsidR="00870DDD">
        <w:rPr>
          <w:lang w:val="en-US"/>
        </w:rPr>
        <w:t xml:space="preserve"> decaying isotopes</w:t>
      </w:r>
      <w:r>
        <w:rPr>
          <w:lang w:val="en-US"/>
        </w:rPr>
        <w:t>)</w:t>
      </w:r>
      <w:r w:rsidR="00870DDD">
        <w:rPr>
          <w:lang w:val="en-US"/>
        </w:rPr>
        <w:t xml:space="preserve"> </w:t>
      </w:r>
      <w:r>
        <w:rPr>
          <w:lang w:val="en-US"/>
        </w:rPr>
        <w:t xml:space="preserve">or characteristic gammas from excited states of the decay products, </w:t>
      </w:r>
      <w:r w:rsidR="00870DDD">
        <w:rPr>
          <w:lang w:val="en-US"/>
        </w:rPr>
        <w:t xml:space="preserve">allows estimating the </w:t>
      </w:r>
      <w:r>
        <w:rPr>
          <w:lang w:val="en-US"/>
        </w:rPr>
        <w:t xml:space="preserve">stopping </w:t>
      </w:r>
      <w:r w:rsidR="00870DDD">
        <w:rPr>
          <w:lang w:val="en-US"/>
        </w:rPr>
        <w:t>positi</w:t>
      </w:r>
      <w:r>
        <w:rPr>
          <w:lang w:val="en-US"/>
        </w:rPr>
        <w:t>on of the RIB using PET and</w:t>
      </w:r>
      <w:r w:rsidR="00995975">
        <w:rPr>
          <w:lang w:val="en-US"/>
        </w:rPr>
        <w:t>/or</w:t>
      </w:r>
      <w:r w:rsidR="00870DDD">
        <w:rPr>
          <w:lang w:val="en-US"/>
        </w:rPr>
        <w:t xml:space="preserve"> </w:t>
      </w:r>
      <w:r>
        <w:rPr>
          <w:lang w:val="en-US"/>
        </w:rPr>
        <w:t>SPECT techniques. This</w:t>
      </w:r>
      <w:r w:rsidR="00870DDD">
        <w:rPr>
          <w:lang w:val="en-US"/>
        </w:rPr>
        <w:t xml:space="preserve"> </w:t>
      </w:r>
      <w:r>
        <w:rPr>
          <w:lang w:val="en-US"/>
        </w:rPr>
        <w:t>allows obtaining</w:t>
      </w:r>
      <w:r w:rsidR="00870DDD">
        <w:rPr>
          <w:lang w:val="en-US"/>
        </w:rPr>
        <w:t xml:space="preserve"> valuable experimental data on stopping </w:t>
      </w:r>
      <w:r>
        <w:rPr>
          <w:lang w:val="en-US"/>
        </w:rPr>
        <w:t xml:space="preserve">and dose </w:t>
      </w:r>
      <w:r w:rsidR="00870DDD">
        <w:rPr>
          <w:lang w:val="en-US"/>
        </w:rPr>
        <w:t xml:space="preserve">distributions in both longitudinal (range straggling) and transverse (multiple scattering) planes. </w:t>
      </w:r>
      <w:r w:rsidR="001912D4">
        <w:rPr>
          <w:lang w:val="en-US"/>
        </w:rPr>
        <w:t>In addition</w:t>
      </w:r>
      <w:r w:rsidR="00870DDD">
        <w:rPr>
          <w:lang w:val="en-US"/>
        </w:rPr>
        <w:t xml:space="preserve">, </w:t>
      </w:r>
      <w:r w:rsidRPr="00031ECA">
        <w:rPr>
          <w:b/>
          <w:lang w:val="en-US"/>
        </w:rPr>
        <w:t xml:space="preserve">PET/SPECT </w:t>
      </w:r>
      <w:r w:rsidR="002D034A" w:rsidRPr="00031ECA">
        <w:rPr>
          <w:b/>
          <w:lang w:val="en-US"/>
        </w:rPr>
        <w:t xml:space="preserve">detection </w:t>
      </w:r>
      <w:r w:rsidR="00870DDD" w:rsidRPr="00031ECA">
        <w:rPr>
          <w:b/>
          <w:lang w:val="en-US"/>
        </w:rPr>
        <w:t xml:space="preserve">can be used for </w:t>
      </w:r>
      <w:r>
        <w:rPr>
          <w:b/>
          <w:lang w:val="en-US"/>
        </w:rPr>
        <w:t>online</w:t>
      </w:r>
      <w:r w:rsidRPr="004E466D">
        <w:rPr>
          <w:b/>
          <w:lang w:val="en-US"/>
        </w:rPr>
        <w:t xml:space="preserve"> </w:t>
      </w:r>
      <w:r w:rsidRPr="004521C6">
        <w:rPr>
          <w:b/>
          <w:lang w:val="en-US"/>
        </w:rPr>
        <w:t xml:space="preserve">monitoring </w:t>
      </w:r>
      <w:r>
        <w:rPr>
          <w:b/>
          <w:lang w:val="en-US"/>
        </w:rPr>
        <w:t xml:space="preserve">of </w:t>
      </w:r>
      <w:r w:rsidR="002D034A">
        <w:rPr>
          <w:b/>
          <w:lang w:val="en-US"/>
        </w:rPr>
        <w:t xml:space="preserve">the primary </w:t>
      </w:r>
      <w:r>
        <w:rPr>
          <w:b/>
          <w:lang w:val="en-US"/>
        </w:rPr>
        <w:t xml:space="preserve">dose deposition </w:t>
      </w:r>
      <w:r w:rsidR="00870DDD" w:rsidRPr="004521C6">
        <w:rPr>
          <w:b/>
          <w:lang w:val="en-US"/>
        </w:rPr>
        <w:t xml:space="preserve">during </w:t>
      </w:r>
      <w:r>
        <w:rPr>
          <w:b/>
          <w:lang w:val="en-US"/>
        </w:rPr>
        <w:t>radiotherapy</w:t>
      </w:r>
      <w:r w:rsidR="00870DDD">
        <w:rPr>
          <w:lang w:val="en-US"/>
        </w:rPr>
        <w:t xml:space="preserve">, which is not </w:t>
      </w:r>
      <w:r>
        <w:rPr>
          <w:lang w:val="en-US"/>
        </w:rPr>
        <w:t>easy</w:t>
      </w:r>
      <w:r w:rsidR="002D034A">
        <w:rPr>
          <w:lang w:val="en-US"/>
        </w:rPr>
        <w:t xml:space="preserve"> with stable light ion beams due to lower intensities of activation.</w:t>
      </w:r>
    </w:p>
    <w:p w:rsidR="00C40395" w:rsidRDefault="00870DDD" w:rsidP="00C40395">
      <w:pPr>
        <w:ind w:firstLine="705"/>
        <w:jc w:val="both"/>
        <w:rPr>
          <w:lang w:val="en-US"/>
        </w:rPr>
      </w:pPr>
      <w:r>
        <w:rPr>
          <w:lang w:val="en-US"/>
        </w:rPr>
        <w:t xml:space="preserve">The short-lived isotopes associated with increased </w:t>
      </w:r>
      <w:r w:rsidR="00906D8C">
        <w:rPr>
          <w:lang w:val="en-US"/>
        </w:rPr>
        <w:t>DDIS</w:t>
      </w:r>
      <w:r>
        <w:rPr>
          <w:lang w:val="en-US"/>
        </w:rPr>
        <w:t xml:space="preserve"> are selected by the localized </w:t>
      </w:r>
      <w:r w:rsidR="00086B4B">
        <w:rPr>
          <w:lang w:val="en-US"/>
        </w:rPr>
        <w:t>high-energy</w:t>
      </w:r>
      <w:r>
        <w:rPr>
          <w:lang w:val="en-US"/>
        </w:rPr>
        <w:t xml:space="preserve"> transfer of their decay products</w:t>
      </w:r>
      <w:r w:rsidR="00436193">
        <w:rPr>
          <w:lang w:val="en-US"/>
        </w:rPr>
        <w:t xml:space="preserve">. </w:t>
      </w:r>
      <w:r>
        <w:rPr>
          <w:lang w:val="en-US"/>
        </w:rPr>
        <w:t xml:space="preserve">For </w:t>
      </w:r>
      <w:r w:rsidR="00994988">
        <w:rPr>
          <w:lang w:val="en-US"/>
        </w:rPr>
        <w:t>dose monitoring during irradiation</w:t>
      </w:r>
      <w:r w:rsidR="009F0D07">
        <w:rPr>
          <w:lang w:val="en-US"/>
        </w:rPr>
        <w:t>,</w:t>
      </w:r>
      <w:r w:rsidR="00994988">
        <w:rPr>
          <w:lang w:val="en-US"/>
        </w:rPr>
        <w:t xml:space="preserve"> both PET</w:t>
      </w:r>
      <w:r w:rsidR="009F0D07">
        <w:rPr>
          <w:lang w:val="en-US"/>
        </w:rPr>
        <w:t>/CT</w:t>
      </w:r>
      <w:r w:rsidR="00D622A6">
        <w:rPr>
          <w:lang w:val="en-US"/>
        </w:rPr>
        <w:t xml:space="preserve"> [Cze13</w:t>
      </w:r>
      <w:r w:rsidR="009F0D07">
        <w:rPr>
          <w:lang w:val="en-US"/>
        </w:rPr>
        <w:t>]</w:t>
      </w:r>
      <w:r w:rsidR="00994988">
        <w:rPr>
          <w:lang w:val="en-US"/>
        </w:rPr>
        <w:t xml:space="preserve"> and SPECT</w:t>
      </w:r>
      <w:r w:rsidR="009F0D07">
        <w:rPr>
          <w:lang w:val="en-US"/>
        </w:rPr>
        <w:t>/CT [</w:t>
      </w:r>
      <w:r w:rsidR="004B3BB2">
        <w:rPr>
          <w:lang w:val="en-US"/>
        </w:rPr>
        <w:t>Isr19</w:t>
      </w:r>
      <w:r w:rsidR="009F0D07">
        <w:rPr>
          <w:lang w:val="en-US"/>
        </w:rPr>
        <w:t>]</w:t>
      </w:r>
      <w:r w:rsidR="00994988">
        <w:rPr>
          <w:lang w:val="en-US"/>
        </w:rPr>
        <w:t xml:space="preserve"> techniques can be employed. For PET</w:t>
      </w:r>
      <w:r>
        <w:rPr>
          <w:lang w:val="en-US"/>
        </w:rPr>
        <w:t xml:space="preserve">, the RIB have to be chosen to be </w:t>
      </w:r>
      <w:r w:rsidRPr="00DB3D51">
        <w:rPr>
          <w:rFonts w:ascii="Symbol" w:hAnsi="Symbol"/>
          <w:lang w:val="en-US"/>
        </w:rPr>
        <w:t></w:t>
      </w:r>
      <w:r w:rsidRPr="00DB3D51">
        <w:rPr>
          <w:vertAlign w:val="superscript"/>
          <w:lang w:val="en-US"/>
        </w:rPr>
        <w:t>+</w:t>
      </w:r>
      <w:r>
        <w:rPr>
          <w:lang w:val="en-US"/>
        </w:rPr>
        <w:t xml:space="preserve"> decaying with a low endpoint energy </w:t>
      </w:r>
      <w:r w:rsidR="00270F0E" w:rsidRPr="00E0793D">
        <w:rPr>
          <w:i/>
          <w:lang w:val="en-US"/>
        </w:rPr>
        <w:t>E</w:t>
      </w:r>
      <w:r w:rsidR="00270F0E" w:rsidRPr="00E0793D">
        <w:rPr>
          <w:i/>
          <w:vertAlign w:val="subscript"/>
          <w:lang w:val="en-US"/>
        </w:rPr>
        <w:t>0</w:t>
      </w:r>
      <w:r w:rsidR="00270F0E">
        <w:rPr>
          <w:lang w:val="en-US"/>
        </w:rPr>
        <w:t xml:space="preserve"> </w:t>
      </w:r>
      <w:r w:rsidR="00994988">
        <w:rPr>
          <w:lang w:val="en-US"/>
        </w:rPr>
        <w:t xml:space="preserve">for </w:t>
      </w:r>
      <w:r>
        <w:rPr>
          <w:lang w:val="en-US"/>
        </w:rPr>
        <w:t xml:space="preserve">higher position resolution. </w:t>
      </w:r>
      <w:r w:rsidR="00994988">
        <w:rPr>
          <w:lang w:val="en-US"/>
        </w:rPr>
        <w:t xml:space="preserve">SPECT can be applied </w:t>
      </w:r>
      <w:r w:rsidR="0000580A">
        <w:rPr>
          <w:lang w:val="en-US"/>
        </w:rPr>
        <w:t xml:space="preserve">also </w:t>
      </w:r>
      <w:r w:rsidR="00994988">
        <w:rPr>
          <w:lang w:val="en-US"/>
        </w:rPr>
        <w:t xml:space="preserve">for RIB associated with gamma emission during de-excitation of the decay products. </w:t>
      </w:r>
      <w:r w:rsidR="0000580A">
        <w:rPr>
          <w:lang w:val="en-US"/>
        </w:rPr>
        <w:t>I</w:t>
      </w:r>
      <w:r w:rsidR="00C96D8C">
        <w:rPr>
          <w:lang w:val="en-US"/>
        </w:rPr>
        <w:t xml:space="preserve">sotopes </w:t>
      </w:r>
      <w:r w:rsidR="0000580A">
        <w:rPr>
          <w:lang w:val="en-US"/>
        </w:rPr>
        <w:t xml:space="preserve">with shorter half-lives </w:t>
      </w:r>
      <w:r w:rsidR="00C96D8C">
        <w:rPr>
          <w:lang w:val="en-US"/>
        </w:rPr>
        <w:t>are preferable</w:t>
      </w:r>
      <w:r w:rsidR="0000580A">
        <w:rPr>
          <w:lang w:val="en-US"/>
        </w:rPr>
        <w:t xml:space="preserve"> </w:t>
      </w:r>
      <w:r w:rsidR="00C96D8C">
        <w:rPr>
          <w:lang w:val="en-US"/>
        </w:rPr>
        <w:t>due to higher detection count rates</w:t>
      </w:r>
      <w:r w:rsidR="0000580A">
        <w:rPr>
          <w:lang w:val="en-US"/>
        </w:rPr>
        <w:t xml:space="preserve"> (</w:t>
      </w:r>
      <w:r w:rsidR="00C40395">
        <w:rPr>
          <w:lang w:val="en-US"/>
        </w:rPr>
        <w:t xml:space="preserve">for </w:t>
      </w:r>
      <w:r w:rsidR="0000580A">
        <w:rPr>
          <w:lang w:val="en-US"/>
        </w:rPr>
        <w:t>monitoring)</w:t>
      </w:r>
      <w:r w:rsidR="00C96D8C">
        <w:rPr>
          <w:lang w:val="en-US"/>
        </w:rPr>
        <w:t xml:space="preserve"> </w:t>
      </w:r>
      <w:r>
        <w:rPr>
          <w:lang w:val="en-US"/>
        </w:rPr>
        <w:t xml:space="preserve">and </w:t>
      </w:r>
      <w:r w:rsidR="00C96D8C">
        <w:rPr>
          <w:lang w:val="en-US"/>
        </w:rPr>
        <w:t xml:space="preserve">reduced </w:t>
      </w:r>
      <w:r>
        <w:rPr>
          <w:lang w:val="en-US"/>
        </w:rPr>
        <w:t xml:space="preserve">diffusion of the </w:t>
      </w:r>
      <w:r w:rsidR="00C96D8C">
        <w:rPr>
          <w:lang w:val="en-US"/>
        </w:rPr>
        <w:t xml:space="preserve">stopped </w:t>
      </w:r>
      <w:r>
        <w:rPr>
          <w:lang w:val="en-US"/>
        </w:rPr>
        <w:t xml:space="preserve">isotopes </w:t>
      </w:r>
      <w:r w:rsidR="00C96D8C">
        <w:rPr>
          <w:lang w:val="en-US"/>
        </w:rPr>
        <w:t>to</w:t>
      </w:r>
      <w:r>
        <w:rPr>
          <w:lang w:val="en-US"/>
        </w:rPr>
        <w:t xml:space="preserve"> the surrounding tissue.</w:t>
      </w:r>
      <w:r w:rsidR="00C96D8C">
        <w:rPr>
          <w:lang w:val="en-US"/>
        </w:rPr>
        <w:t xml:space="preserve"> </w:t>
      </w:r>
      <w:r w:rsidR="00994988">
        <w:rPr>
          <w:lang w:val="en-US"/>
        </w:rPr>
        <w:t xml:space="preserve"> </w:t>
      </w:r>
      <w:r w:rsidR="00C40395">
        <w:rPr>
          <w:lang w:val="en-US"/>
        </w:rPr>
        <w:t>The table below includes</w:t>
      </w:r>
      <w:r w:rsidR="00C40395">
        <w:rPr>
          <w:lang w:val="en-US"/>
        </w:rPr>
        <w:t xml:space="preserve"> possible </w:t>
      </w:r>
      <w:r w:rsidR="00C40395">
        <w:rPr>
          <w:lang w:val="en-US"/>
        </w:rPr>
        <w:t xml:space="preserve">short-lived </w:t>
      </w:r>
      <w:r w:rsidR="00C40395">
        <w:rPr>
          <w:lang w:val="en-US"/>
        </w:rPr>
        <w:t xml:space="preserve">isotopes for RIB </w:t>
      </w:r>
      <w:r w:rsidR="00C40395">
        <w:rPr>
          <w:lang w:val="en-US"/>
        </w:rPr>
        <w:t>therapy (green) and online dose distribution monitoring (blue).</w:t>
      </w:r>
    </w:p>
    <w:p w:rsidR="00870DDD" w:rsidRDefault="007F2585" w:rsidP="007F2585">
      <w:pPr>
        <w:jc w:val="both"/>
        <w:rPr>
          <w:i/>
          <w:sz w:val="20"/>
          <w:lang w:val="en-US"/>
        </w:rPr>
      </w:pPr>
      <w:r>
        <w:rPr>
          <w:i/>
          <w:noProof/>
          <w:sz w:val="20"/>
          <w:lang w:val="en-US"/>
        </w:rPr>
        <w:lastRenderedPageBreak/>
        <w:drawing>
          <wp:inline distT="0" distB="0" distL="0" distR="0">
            <wp:extent cx="5833110" cy="213804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33110" cy="2138045"/>
                    </a:xfrm>
                    <a:prstGeom prst="rect">
                      <a:avLst/>
                    </a:prstGeom>
                    <a:noFill/>
                  </pic:spPr>
                </pic:pic>
              </a:graphicData>
            </a:graphic>
          </wp:inline>
        </w:drawing>
      </w:r>
    </w:p>
    <w:p w:rsidR="00436193" w:rsidRDefault="00436193" w:rsidP="00436193">
      <w:pPr>
        <w:jc w:val="both"/>
        <w:rPr>
          <w:i/>
          <w:sz w:val="20"/>
          <w:lang w:val="en-US"/>
        </w:rPr>
      </w:pPr>
      <w:r>
        <w:rPr>
          <w:i/>
          <w:sz w:val="20"/>
          <w:lang w:val="en-US"/>
        </w:rPr>
        <w:t>C</w:t>
      </w:r>
      <w:r w:rsidRPr="00DD7C6C">
        <w:rPr>
          <w:i/>
          <w:sz w:val="20"/>
          <w:lang w:val="en-US"/>
        </w:rPr>
        <w:t xml:space="preserve">omparison of </w:t>
      </w:r>
      <w:r>
        <w:rPr>
          <w:i/>
          <w:sz w:val="20"/>
          <w:lang w:val="en-US"/>
        </w:rPr>
        <w:t xml:space="preserve">the energy transfers of </w:t>
      </w:r>
      <w:r w:rsidRPr="00436193">
        <w:rPr>
          <w:i/>
          <w:sz w:val="20"/>
          <w:vertAlign w:val="superscript"/>
          <w:lang w:val="en-US"/>
        </w:rPr>
        <w:t>8</w:t>
      </w:r>
      <w:r>
        <w:rPr>
          <w:i/>
          <w:sz w:val="20"/>
          <w:lang w:val="en-US"/>
        </w:rPr>
        <w:t>Li</w:t>
      </w:r>
      <w:r w:rsidRPr="00DD7C6C">
        <w:rPr>
          <w:i/>
          <w:sz w:val="20"/>
          <w:lang w:val="en-US"/>
        </w:rPr>
        <w:t xml:space="preserve"> </w:t>
      </w:r>
      <w:r w:rsidR="00721B0E">
        <w:rPr>
          <w:i/>
          <w:sz w:val="20"/>
          <w:lang w:val="en-US"/>
        </w:rPr>
        <w:t>ion</w:t>
      </w:r>
      <w:r>
        <w:rPr>
          <w:i/>
          <w:sz w:val="20"/>
          <w:lang w:val="en-US"/>
        </w:rPr>
        <w:t xml:space="preserve"> (156.6 MeV/u)</w:t>
      </w:r>
      <w:r w:rsidRPr="00DD7C6C">
        <w:rPr>
          <w:i/>
          <w:sz w:val="20"/>
          <w:lang w:val="en-US"/>
        </w:rPr>
        <w:t xml:space="preserve"> and </w:t>
      </w:r>
      <w:r>
        <w:rPr>
          <w:i/>
          <w:sz w:val="20"/>
          <w:lang w:val="en-US"/>
        </w:rPr>
        <w:t>a</w:t>
      </w:r>
      <w:r w:rsidRPr="00DD7C6C">
        <w:rPr>
          <w:i/>
          <w:sz w:val="20"/>
          <w:lang w:val="en-US"/>
        </w:rPr>
        <w:t xml:space="preserve"> delayed </w:t>
      </w:r>
      <w:r>
        <w:rPr>
          <w:i/>
          <w:sz w:val="20"/>
          <w:lang w:val="en-US"/>
        </w:rPr>
        <w:t xml:space="preserve">collinear </w:t>
      </w:r>
      <w:r w:rsidRPr="00DD7C6C">
        <w:rPr>
          <w:i/>
          <w:sz w:val="20"/>
          <w:lang w:val="en-US"/>
        </w:rPr>
        <w:t xml:space="preserve">emission of </w:t>
      </w:r>
      <w:proofErr w:type="gramStart"/>
      <w:r w:rsidRPr="00DD7C6C">
        <w:rPr>
          <w:i/>
          <w:sz w:val="20"/>
          <w:lang w:val="en-US"/>
        </w:rPr>
        <w:t>2</w:t>
      </w:r>
      <w:proofErr w:type="gramEnd"/>
      <w:r w:rsidRPr="00DD7C6C">
        <w:rPr>
          <w:i/>
          <w:sz w:val="20"/>
          <w:lang w:val="en-US"/>
        </w:rPr>
        <w:t xml:space="preserve"> alpha particles </w:t>
      </w:r>
      <w:r>
        <w:rPr>
          <w:i/>
          <w:sz w:val="20"/>
          <w:lang w:val="en-US"/>
        </w:rPr>
        <w:t xml:space="preserve">(3 MeV). The </w:t>
      </w:r>
      <w:r w:rsidR="007F2585">
        <w:rPr>
          <w:i/>
          <w:sz w:val="20"/>
          <w:lang w:val="en-US"/>
        </w:rPr>
        <w:t xml:space="preserve">right plot shows </w:t>
      </w:r>
      <w:r>
        <w:rPr>
          <w:i/>
          <w:sz w:val="20"/>
          <w:lang w:val="en-US"/>
        </w:rPr>
        <w:t xml:space="preserve">the superimposed Bragg peaks of the primary RIB and the delayed alphas leading to an </w:t>
      </w:r>
      <w:r w:rsidRPr="00DD7C6C">
        <w:rPr>
          <w:i/>
          <w:sz w:val="20"/>
          <w:lang w:val="en-US"/>
        </w:rPr>
        <w:t>increas</w:t>
      </w:r>
      <w:r>
        <w:rPr>
          <w:i/>
          <w:sz w:val="20"/>
          <w:lang w:val="en-US"/>
        </w:rPr>
        <w:t>e (in both</w:t>
      </w:r>
      <w:r w:rsidRPr="00DD7C6C">
        <w:rPr>
          <w:i/>
          <w:sz w:val="20"/>
          <w:lang w:val="en-US"/>
        </w:rPr>
        <w:t xml:space="preserve"> height and width</w:t>
      </w:r>
      <w:r>
        <w:rPr>
          <w:i/>
          <w:sz w:val="20"/>
          <w:lang w:val="en-US"/>
        </w:rPr>
        <w:t>) of the LET near the stopping position of the RIB</w:t>
      </w:r>
      <w:r w:rsidRPr="00DD7C6C">
        <w:rPr>
          <w:i/>
          <w:sz w:val="20"/>
          <w:lang w:val="en-US"/>
        </w:rPr>
        <w:t>.</w:t>
      </w:r>
    </w:p>
    <w:p w:rsidR="007F2585" w:rsidRDefault="007F2585" w:rsidP="00436193">
      <w:pPr>
        <w:jc w:val="both"/>
        <w:rPr>
          <w:i/>
          <w:sz w:val="20"/>
          <w:lang w:val="en-US"/>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532"/>
        <w:gridCol w:w="1143"/>
        <w:gridCol w:w="3213"/>
        <w:gridCol w:w="1155"/>
        <w:gridCol w:w="1512"/>
        <w:gridCol w:w="1512"/>
      </w:tblGrid>
      <w:tr w:rsidR="00870DDD" w:rsidRPr="002F1C64" w:rsidTr="00484762">
        <w:tc>
          <w:tcPr>
            <w:tcW w:w="535" w:type="dxa"/>
            <w:shd w:val="clear" w:color="auto" w:fill="D9D9D9"/>
          </w:tcPr>
          <w:p w:rsidR="00870DDD" w:rsidRPr="002F1C64" w:rsidRDefault="00870DDD" w:rsidP="002F1C64">
            <w:pPr>
              <w:jc w:val="center"/>
              <w:rPr>
                <w:sz w:val="20"/>
                <w:lang w:val="en-US"/>
              </w:rPr>
            </w:pPr>
            <w:r w:rsidRPr="002F1C64">
              <w:rPr>
                <w:sz w:val="20"/>
                <w:lang w:val="en-US"/>
              </w:rPr>
              <w:t>RIB</w:t>
            </w:r>
          </w:p>
        </w:tc>
        <w:tc>
          <w:tcPr>
            <w:tcW w:w="1152" w:type="dxa"/>
            <w:shd w:val="clear" w:color="auto" w:fill="D9D9D9"/>
          </w:tcPr>
          <w:p w:rsidR="00870DDD" w:rsidRPr="002F1C64" w:rsidRDefault="00870DDD" w:rsidP="002F1C64">
            <w:pPr>
              <w:jc w:val="center"/>
              <w:rPr>
                <w:sz w:val="20"/>
                <w:lang w:val="en-US"/>
              </w:rPr>
            </w:pPr>
            <w:r w:rsidRPr="002F1C64">
              <w:rPr>
                <w:sz w:val="20"/>
                <w:lang w:val="en-US"/>
              </w:rPr>
              <w:t>Half-life</w:t>
            </w:r>
          </w:p>
          <w:p w:rsidR="00870DDD" w:rsidRPr="002F1C64" w:rsidRDefault="00870DDD" w:rsidP="002F1C64">
            <w:pPr>
              <w:jc w:val="center"/>
              <w:rPr>
                <w:sz w:val="20"/>
                <w:lang w:val="en-US"/>
              </w:rPr>
            </w:pPr>
          </w:p>
        </w:tc>
        <w:tc>
          <w:tcPr>
            <w:tcW w:w="3240" w:type="dxa"/>
            <w:shd w:val="clear" w:color="auto" w:fill="D9D9D9"/>
          </w:tcPr>
          <w:p w:rsidR="00870DDD" w:rsidRPr="002F1C64" w:rsidRDefault="00870DDD" w:rsidP="002F1C64">
            <w:pPr>
              <w:jc w:val="center"/>
              <w:rPr>
                <w:sz w:val="20"/>
                <w:lang w:val="en-US"/>
              </w:rPr>
            </w:pPr>
            <w:r w:rsidRPr="002F1C64">
              <w:rPr>
                <w:sz w:val="20"/>
                <w:lang w:val="en-US"/>
              </w:rPr>
              <w:t>Decay mode</w:t>
            </w:r>
          </w:p>
        </w:tc>
        <w:tc>
          <w:tcPr>
            <w:tcW w:w="1164" w:type="dxa"/>
            <w:shd w:val="clear" w:color="auto" w:fill="D9D9D9"/>
          </w:tcPr>
          <w:p w:rsidR="00E0793D" w:rsidRDefault="00870DDD" w:rsidP="002F1C64">
            <w:pPr>
              <w:jc w:val="center"/>
              <w:rPr>
                <w:i/>
                <w:sz w:val="20"/>
                <w:lang w:val="en-US"/>
              </w:rPr>
            </w:pPr>
            <w:r w:rsidRPr="00E0793D">
              <w:rPr>
                <w:i/>
                <w:sz w:val="20"/>
                <w:lang w:val="en-US"/>
              </w:rPr>
              <w:t>E</w:t>
            </w:r>
            <w:r w:rsidR="00E0793D">
              <w:rPr>
                <w:i/>
                <w:sz w:val="20"/>
                <w:lang w:val="en-US"/>
              </w:rPr>
              <w:t xml:space="preserve"> </w:t>
            </w:r>
            <w:r w:rsidR="00E0793D" w:rsidRPr="002F1C64">
              <w:rPr>
                <w:sz w:val="20"/>
                <w:lang w:val="en-US"/>
              </w:rPr>
              <w:t>[MeV/u]</w:t>
            </w:r>
            <w:r w:rsidR="00E0793D">
              <w:rPr>
                <w:i/>
                <w:sz w:val="20"/>
                <w:lang w:val="en-US"/>
              </w:rPr>
              <w:t xml:space="preserve"> </w:t>
            </w:r>
          </w:p>
          <w:p w:rsidR="00870DDD" w:rsidRPr="00E0793D" w:rsidRDefault="00E0793D" w:rsidP="00E0793D">
            <w:pPr>
              <w:jc w:val="center"/>
              <w:rPr>
                <w:i/>
                <w:sz w:val="20"/>
                <w:lang w:val="en-US"/>
              </w:rPr>
            </w:pPr>
            <w:r>
              <w:rPr>
                <w:i/>
                <w:sz w:val="20"/>
                <w:lang w:val="en-US"/>
              </w:rPr>
              <w:t>(15 cm H</w:t>
            </w:r>
            <w:r w:rsidRPr="00E0793D">
              <w:rPr>
                <w:i/>
                <w:sz w:val="20"/>
                <w:vertAlign w:val="subscript"/>
                <w:lang w:val="en-US"/>
              </w:rPr>
              <w:t>2</w:t>
            </w:r>
            <w:r>
              <w:rPr>
                <w:i/>
                <w:sz w:val="20"/>
                <w:lang w:val="en-US"/>
              </w:rPr>
              <w:t>O)</w:t>
            </w:r>
          </w:p>
        </w:tc>
        <w:tc>
          <w:tcPr>
            <w:tcW w:w="1524" w:type="dxa"/>
            <w:shd w:val="clear" w:color="auto" w:fill="D9D9D9"/>
          </w:tcPr>
          <w:p w:rsidR="00870DDD" w:rsidRPr="002F1C64" w:rsidRDefault="00870DDD" w:rsidP="002F1C64">
            <w:pPr>
              <w:jc w:val="center"/>
              <w:rPr>
                <w:sz w:val="20"/>
                <w:lang w:val="en-US"/>
              </w:rPr>
            </w:pPr>
            <w:r w:rsidRPr="002F1C64">
              <w:rPr>
                <w:sz w:val="20"/>
                <w:lang w:val="en-US"/>
              </w:rPr>
              <w:t>Production</w:t>
            </w:r>
          </w:p>
          <w:p w:rsidR="00870DDD" w:rsidRPr="002F1C64" w:rsidRDefault="00870DDD" w:rsidP="002F1C64">
            <w:pPr>
              <w:jc w:val="center"/>
              <w:rPr>
                <w:sz w:val="20"/>
                <w:lang w:val="en-US"/>
              </w:rPr>
            </w:pPr>
            <w:r w:rsidRPr="002F1C64">
              <w:rPr>
                <w:sz w:val="20"/>
                <w:lang w:val="en-US"/>
              </w:rPr>
              <w:t>mode</w:t>
            </w:r>
          </w:p>
        </w:tc>
        <w:tc>
          <w:tcPr>
            <w:tcW w:w="1524" w:type="dxa"/>
            <w:shd w:val="clear" w:color="auto" w:fill="D9D9D9"/>
          </w:tcPr>
          <w:p w:rsidR="00870DDD" w:rsidRPr="002F1C64" w:rsidRDefault="00870DDD" w:rsidP="002F1C64">
            <w:pPr>
              <w:jc w:val="center"/>
              <w:rPr>
                <w:sz w:val="20"/>
                <w:lang w:val="en-US"/>
              </w:rPr>
            </w:pPr>
            <w:r w:rsidRPr="002F1C64">
              <w:rPr>
                <w:sz w:val="20"/>
                <w:lang w:val="en-US"/>
              </w:rPr>
              <w:t>notes</w:t>
            </w:r>
          </w:p>
        </w:tc>
      </w:tr>
      <w:tr w:rsidR="00870DDD" w:rsidRPr="002F1C64" w:rsidTr="00484762">
        <w:tc>
          <w:tcPr>
            <w:tcW w:w="535" w:type="dxa"/>
            <w:shd w:val="clear" w:color="auto" w:fill="CCFFCC"/>
          </w:tcPr>
          <w:p w:rsidR="00870DDD" w:rsidRPr="002F1C64" w:rsidRDefault="00870DDD" w:rsidP="002F1C64">
            <w:pPr>
              <w:jc w:val="center"/>
              <w:rPr>
                <w:sz w:val="20"/>
                <w:lang w:val="en-US"/>
              </w:rPr>
            </w:pPr>
            <w:r w:rsidRPr="002F1C64">
              <w:rPr>
                <w:sz w:val="20"/>
                <w:vertAlign w:val="superscript"/>
                <w:lang w:val="en-US"/>
              </w:rPr>
              <w:t>8</w:t>
            </w:r>
            <w:r w:rsidRPr="002F1C64">
              <w:rPr>
                <w:sz w:val="20"/>
                <w:lang w:val="en-US"/>
              </w:rPr>
              <w:t>Li</w:t>
            </w:r>
          </w:p>
        </w:tc>
        <w:tc>
          <w:tcPr>
            <w:tcW w:w="1152" w:type="dxa"/>
            <w:shd w:val="clear" w:color="auto" w:fill="CCFFCC"/>
          </w:tcPr>
          <w:p w:rsidR="00870DDD" w:rsidRPr="002F1C64" w:rsidRDefault="00870DDD" w:rsidP="002F1C64">
            <w:pPr>
              <w:jc w:val="center"/>
              <w:rPr>
                <w:sz w:val="20"/>
                <w:lang w:val="en-US"/>
              </w:rPr>
            </w:pPr>
            <w:r w:rsidRPr="002F1C64">
              <w:rPr>
                <w:sz w:val="20"/>
                <w:lang w:val="en-US"/>
              </w:rPr>
              <w:t xml:space="preserve">839.9 </w:t>
            </w:r>
            <w:proofErr w:type="spellStart"/>
            <w:r w:rsidRPr="002F1C64">
              <w:rPr>
                <w:sz w:val="20"/>
                <w:lang w:val="en-US"/>
              </w:rPr>
              <w:t>ms</w:t>
            </w:r>
            <w:proofErr w:type="spellEnd"/>
          </w:p>
        </w:tc>
        <w:tc>
          <w:tcPr>
            <w:tcW w:w="3240" w:type="dxa"/>
            <w:shd w:val="clear" w:color="auto" w:fill="CCFFCC"/>
          </w:tcPr>
          <w:p w:rsidR="00870DDD" w:rsidRPr="002F1C64" w:rsidRDefault="00870DDD" w:rsidP="002F1C64">
            <w:pPr>
              <w:jc w:val="both"/>
              <w:rPr>
                <w:sz w:val="20"/>
                <w:lang w:val="en-US"/>
              </w:rPr>
            </w:pPr>
            <w:r w:rsidRPr="002F1C64">
              <w:rPr>
                <w:rFonts w:ascii="Symbol" w:hAnsi="Symbol"/>
                <w:sz w:val="20"/>
                <w:lang w:val="en-US"/>
              </w:rPr>
              <w:t></w:t>
            </w:r>
            <w:r w:rsidRPr="002F1C64">
              <w:rPr>
                <w:sz w:val="20"/>
                <w:vertAlign w:val="superscript"/>
                <w:lang w:val="en-US"/>
              </w:rPr>
              <w:t>-</w:t>
            </w:r>
            <w:r w:rsidRPr="002F1C64">
              <w:rPr>
                <w:rFonts w:cs="Calibri"/>
                <w:sz w:val="20"/>
                <w:lang w:val="en-US"/>
              </w:rPr>
              <w:t>,</w:t>
            </w:r>
            <w:r w:rsidRPr="002F1C64">
              <w:rPr>
                <w:sz w:val="20"/>
                <w:lang w:val="en-US"/>
              </w:rPr>
              <w:t xml:space="preserve"> </w:t>
            </w:r>
            <w:r w:rsidRPr="002F1C64">
              <w:rPr>
                <w:sz w:val="20"/>
                <w:vertAlign w:val="superscript"/>
                <w:lang w:val="en-US"/>
              </w:rPr>
              <w:t>8</w:t>
            </w:r>
            <w:r w:rsidRPr="002F1C64">
              <w:rPr>
                <w:sz w:val="20"/>
                <w:lang w:val="en-US"/>
              </w:rPr>
              <w:t>Be</w:t>
            </w:r>
            <w:r w:rsidRPr="002F1C64">
              <w:rPr>
                <w:rFonts w:cs="Calibri"/>
                <w:sz w:val="20"/>
                <w:lang w:val="en-US"/>
              </w:rPr>
              <w:t>→</w:t>
            </w:r>
            <w:r w:rsidRPr="002F1C64">
              <w:rPr>
                <w:rFonts w:ascii="Symbol" w:hAnsi="Symbol" w:cs="Calibri"/>
                <w:sz w:val="20"/>
                <w:lang w:val="en-US"/>
              </w:rPr>
              <w:t></w:t>
            </w:r>
            <w:r w:rsidRPr="002F1C64">
              <w:rPr>
                <w:rFonts w:cs="Calibri"/>
                <w:sz w:val="20"/>
                <w:lang w:val="en-US"/>
              </w:rPr>
              <w:t>+</w:t>
            </w:r>
            <w:r w:rsidRPr="002F1C64">
              <w:rPr>
                <w:rFonts w:ascii="Symbol" w:hAnsi="Symbol" w:cs="Calibri"/>
                <w:sz w:val="20"/>
                <w:lang w:val="en-US"/>
              </w:rPr>
              <w:t></w:t>
            </w:r>
          </w:p>
        </w:tc>
        <w:tc>
          <w:tcPr>
            <w:tcW w:w="1164" w:type="dxa"/>
            <w:shd w:val="clear" w:color="auto" w:fill="CCFFCC"/>
          </w:tcPr>
          <w:p w:rsidR="00870DDD" w:rsidRPr="002F1C64" w:rsidRDefault="00870DDD" w:rsidP="002F1C64">
            <w:pPr>
              <w:jc w:val="center"/>
              <w:rPr>
                <w:sz w:val="20"/>
                <w:lang w:val="en-US"/>
              </w:rPr>
            </w:pPr>
            <w:r w:rsidRPr="002F1C64">
              <w:rPr>
                <w:sz w:val="20"/>
                <w:lang w:val="en-US"/>
              </w:rPr>
              <w:t>157</w:t>
            </w:r>
          </w:p>
        </w:tc>
        <w:tc>
          <w:tcPr>
            <w:tcW w:w="1524" w:type="dxa"/>
            <w:shd w:val="clear" w:color="auto" w:fill="CCFFCC"/>
          </w:tcPr>
          <w:p w:rsidR="00870DDD" w:rsidRPr="002F1C64" w:rsidRDefault="00870DDD" w:rsidP="002F1C64">
            <w:pPr>
              <w:jc w:val="both"/>
              <w:rPr>
                <w:sz w:val="20"/>
                <w:lang w:val="en-US"/>
              </w:rPr>
            </w:pPr>
            <w:r w:rsidRPr="002F1C64">
              <w:rPr>
                <w:sz w:val="20"/>
                <w:lang w:val="en-US"/>
              </w:rPr>
              <w:t>ISOL, In-flight</w:t>
            </w:r>
          </w:p>
        </w:tc>
        <w:tc>
          <w:tcPr>
            <w:tcW w:w="1524" w:type="dxa"/>
            <w:shd w:val="clear" w:color="auto" w:fill="CCFFCC"/>
          </w:tcPr>
          <w:p w:rsidR="00870DDD" w:rsidRPr="002F1C64" w:rsidRDefault="00F01610" w:rsidP="002F1C64">
            <w:pPr>
              <w:jc w:val="both"/>
              <w:rPr>
                <w:sz w:val="20"/>
                <w:lang w:val="en-US"/>
              </w:rPr>
            </w:pPr>
            <w:r>
              <w:rPr>
                <w:sz w:val="20"/>
                <w:lang w:val="en-US"/>
              </w:rPr>
              <w:t>Increased DDIS</w:t>
            </w:r>
          </w:p>
        </w:tc>
      </w:tr>
      <w:tr w:rsidR="00870DDD" w:rsidRPr="002F1C64" w:rsidTr="00484762">
        <w:tc>
          <w:tcPr>
            <w:tcW w:w="535" w:type="dxa"/>
            <w:shd w:val="clear" w:color="auto" w:fill="CCFFCC"/>
          </w:tcPr>
          <w:p w:rsidR="00870DDD" w:rsidRPr="002F1C64" w:rsidRDefault="00870DDD" w:rsidP="002F1C64">
            <w:pPr>
              <w:jc w:val="center"/>
              <w:rPr>
                <w:sz w:val="20"/>
                <w:lang w:val="en-US"/>
              </w:rPr>
            </w:pPr>
            <w:r w:rsidRPr="002F1C64">
              <w:rPr>
                <w:sz w:val="20"/>
                <w:vertAlign w:val="superscript"/>
                <w:lang w:val="en-US"/>
              </w:rPr>
              <w:t>8</w:t>
            </w:r>
            <w:r w:rsidRPr="002F1C64">
              <w:rPr>
                <w:sz w:val="20"/>
                <w:lang w:val="en-US"/>
              </w:rPr>
              <w:t>B</w:t>
            </w:r>
          </w:p>
        </w:tc>
        <w:tc>
          <w:tcPr>
            <w:tcW w:w="1152" w:type="dxa"/>
            <w:shd w:val="clear" w:color="auto" w:fill="CCFFCC"/>
          </w:tcPr>
          <w:p w:rsidR="00870DDD" w:rsidRPr="002F1C64" w:rsidRDefault="00870DDD" w:rsidP="002F1C64">
            <w:pPr>
              <w:jc w:val="center"/>
              <w:rPr>
                <w:sz w:val="20"/>
                <w:lang w:val="en-US"/>
              </w:rPr>
            </w:pPr>
            <w:r w:rsidRPr="002F1C64">
              <w:rPr>
                <w:sz w:val="20"/>
                <w:lang w:val="en-US"/>
              </w:rPr>
              <w:t xml:space="preserve">770 </w:t>
            </w:r>
            <w:proofErr w:type="spellStart"/>
            <w:r w:rsidRPr="002F1C64">
              <w:rPr>
                <w:sz w:val="20"/>
                <w:lang w:val="en-US"/>
              </w:rPr>
              <w:t>ms</w:t>
            </w:r>
            <w:proofErr w:type="spellEnd"/>
          </w:p>
        </w:tc>
        <w:tc>
          <w:tcPr>
            <w:tcW w:w="3240" w:type="dxa"/>
            <w:shd w:val="clear" w:color="auto" w:fill="CCFFCC"/>
          </w:tcPr>
          <w:p w:rsidR="00870DDD" w:rsidRPr="002F1C64" w:rsidRDefault="00870DDD" w:rsidP="002F1C64">
            <w:pPr>
              <w:jc w:val="both"/>
              <w:rPr>
                <w:sz w:val="20"/>
                <w:lang w:val="en-US"/>
              </w:rPr>
            </w:pPr>
            <w:r w:rsidRPr="002F1C64">
              <w:rPr>
                <w:rFonts w:ascii="Symbol" w:hAnsi="Symbol"/>
                <w:sz w:val="20"/>
                <w:lang w:val="en-US"/>
              </w:rPr>
              <w:t></w:t>
            </w:r>
            <w:r w:rsidRPr="002F1C64">
              <w:rPr>
                <w:sz w:val="20"/>
                <w:vertAlign w:val="superscript"/>
                <w:lang w:val="en-US"/>
              </w:rPr>
              <w:t>+</w:t>
            </w:r>
            <w:r w:rsidRPr="002F1C64">
              <w:rPr>
                <w:rFonts w:cs="Calibri"/>
                <w:sz w:val="20"/>
                <w:lang w:val="en-US"/>
              </w:rPr>
              <w:t>,</w:t>
            </w:r>
            <w:r w:rsidRPr="002F1C64">
              <w:rPr>
                <w:sz w:val="20"/>
                <w:lang w:val="en-US"/>
              </w:rPr>
              <w:t xml:space="preserve"> </w:t>
            </w:r>
            <w:r w:rsidRPr="002F1C64">
              <w:rPr>
                <w:sz w:val="20"/>
                <w:vertAlign w:val="superscript"/>
                <w:lang w:val="en-US"/>
              </w:rPr>
              <w:t>8</w:t>
            </w:r>
            <w:r w:rsidRPr="002F1C64">
              <w:rPr>
                <w:sz w:val="20"/>
                <w:lang w:val="en-US"/>
              </w:rPr>
              <w:t>Be</w:t>
            </w:r>
            <w:r w:rsidRPr="002F1C64">
              <w:rPr>
                <w:rFonts w:cs="Calibri"/>
                <w:sz w:val="20"/>
                <w:lang w:val="en-US"/>
              </w:rPr>
              <w:t>→</w:t>
            </w:r>
            <w:r w:rsidRPr="002F1C64">
              <w:rPr>
                <w:rFonts w:ascii="Symbol" w:hAnsi="Symbol" w:cs="Calibri"/>
                <w:sz w:val="20"/>
                <w:lang w:val="en-US"/>
              </w:rPr>
              <w:t></w:t>
            </w:r>
            <w:r w:rsidRPr="002F1C64">
              <w:rPr>
                <w:rFonts w:cs="Calibri"/>
                <w:sz w:val="20"/>
                <w:lang w:val="en-US"/>
              </w:rPr>
              <w:t>+</w:t>
            </w:r>
            <w:r w:rsidRPr="002F1C64">
              <w:rPr>
                <w:rFonts w:ascii="Symbol" w:hAnsi="Symbol" w:cs="Calibri"/>
                <w:sz w:val="20"/>
                <w:lang w:val="en-US"/>
              </w:rPr>
              <w:t></w:t>
            </w:r>
          </w:p>
        </w:tc>
        <w:tc>
          <w:tcPr>
            <w:tcW w:w="1164" w:type="dxa"/>
            <w:shd w:val="clear" w:color="auto" w:fill="CCFFCC"/>
          </w:tcPr>
          <w:p w:rsidR="00870DDD" w:rsidRPr="002F1C64" w:rsidRDefault="00870DDD" w:rsidP="002F1C64">
            <w:pPr>
              <w:jc w:val="center"/>
              <w:rPr>
                <w:sz w:val="20"/>
                <w:lang w:val="en-US"/>
              </w:rPr>
            </w:pPr>
            <w:r w:rsidRPr="002F1C64">
              <w:rPr>
                <w:sz w:val="20"/>
                <w:lang w:val="en-US"/>
              </w:rPr>
              <w:t>280</w:t>
            </w:r>
          </w:p>
        </w:tc>
        <w:tc>
          <w:tcPr>
            <w:tcW w:w="1524" w:type="dxa"/>
            <w:shd w:val="clear" w:color="auto" w:fill="CCFFCC"/>
          </w:tcPr>
          <w:p w:rsidR="00870DDD" w:rsidRPr="002F1C64" w:rsidRDefault="00870DDD" w:rsidP="002F1C64">
            <w:pPr>
              <w:jc w:val="both"/>
              <w:rPr>
                <w:sz w:val="20"/>
                <w:lang w:val="en-US"/>
              </w:rPr>
            </w:pPr>
            <w:r w:rsidRPr="002F1C64">
              <w:rPr>
                <w:sz w:val="20"/>
                <w:lang w:val="en-US"/>
              </w:rPr>
              <w:t>ISOL, In-flight</w:t>
            </w:r>
          </w:p>
        </w:tc>
        <w:tc>
          <w:tcPr>
            <w:tcW w:w="1524" w:type="dxa"/>
            <w:shd w:val="clear" w:color="auto" w:fill="CCFFCC"/>
          </w:tcPr>
          <w:p w:rsidR="00870DDD" w:rsidRPr="002F1C64" w:rsidRDefault="00F01610" w:rsidP="002F1C64">
            <w:pPr>
              <w:jc w:val="both"/>
              <w:rPr>
                <w:sz w:val="20"/>
                <w:lang w:val="en-US"/>
              </w:rPr>
            </w:pPr>
            <w:r>
              <w:rPr>
                <w:sz w:val="20"/>
                <w:lang w:val="en-US"/>
              </w:rPr>
              <w:t>Increased DDIS</w:t>
            </w:r>
          </w:p>
        </w:tc>
      </w:tr>
      <w:tr w:rsidR="00870DDD" w:rsidRPr="002F1C64" w:rsidTr="00484762">
        <w:tc>
          <w:tcPr>
            <w:tcW w:w="535" w:type="dxa"/>
            <w:shd w:val="clear" w:color="auto" w:fill="CCFFCC"/>
          </w:tcPr>
          <w:p w:rsidR="00870DDD" w:rsidRPr="002F1C64" w:rsidRDefault="00870DDD" w:rsidP="002F1C64">
            <w:pPr>
              <w:jc w:val="center"/>
              <w:rPr>
                <w:sz w:val="20"/>
                <w:lang w:val="en-US"/>
              </w:rPr>
            </w:pPr>
            <w:r w:rsidRPr="002F1C64">
              <w:rPr>
                <w:sz w:val="20"/>
                <w:vertAlign w:val="superscript"/>
                <w:lang w:val="en-US"/>
              </w:rPr>
              <w:t>9</w:t>
            </w:r>
            <w:r w:rsidRPr="002F1C64">
              <w:rPr>
                <w:sz w:val="20"/>
                <w:lang w:val="en-US"/>
              </w:rPr>
              <w:t>Li</w:t>
            </w:r>
          </w:p>
        </w:tc>
        <w:tc>
          <w:tcPr>
            <w:tcW w:w="1152" w:type="dxa"/>
            <w:shd w:val="clear" w:color="auto" w:fill="CCFFCC"/>
          </w:tcPr>
          <w:p w:rsidR="00870DDD" w:rsidRPr="002F1C64" w:rsidRDefault="00870DDD" w:rsidP="002F1C64">
            <w:pPr>
              <w:jc w:val="center"/>
              <w:rPr>
                <w:sz w:val="20"/>
                <w:lang w:val="en-US"/>
              </w:rPr>
            </w:pPr>
            <w:r w:rsidRPr="002F1C64">
              <w:rPr>
                <w:sz w:val="20"/>
                <w:lang w:val="en-US"/>
              </w:rPr>
              <w:t xml:space="preserve">178.3 </w:t>
            </w:r>
            <w:proofErr w:type="spellStart"/>
            <w:r w:rsidRPr="002F1C64">
              <w:rPr>
                <w:sz w:val="20"/>
                <w:lang w:val="en-US"/>
              </w:rPr>
              <w:t>ms</w:t>
            </w:r>
            <w:proofErr w:type="spellEnd"/>
          </w:p>
        </w:tc>
        <w:tc>
          <w:tcPr>
            <w:tcW w:w="3240" w:type="dxa"/>
            <w:shd w:val="clear" w:color="auto" w:fill="CCFFCC"/>
          </w:tcPr>
          <w:p w:rsidR="00870DDD" w:rsidRPr="002F1C64" w:rsidRDefault="00870DDD" w:rsidP="002F1C64">
            <w:pPr>
              <w:jc w:val="both"/>
              <w:rPr>
                <w:sz w:val="20"/>
                <w:vertAlign w:val="superscript"/>
                <w:lang w:val="en-US"/>
              </w:rPr>
            </w:pPr>
            <w:r w:rsidRPr="002F1C64">
              <w:rPr>
                <w:rFonts w:ascii="Symbol" w:hAnsi="Symbol"/>
                <w:sz w:val="20"/>
                <w:lang w:val="en-US"/>
              </w:rPr>
              <w:t></w:t>
            </w:r>
            <w:r w:rsidRPr="002F1C64">
              <w:rPr>
                <w:sz w:val="20"/>
                <w:vertAlign w:val="superscript"/>
                <w:lang w:val="en-US"/>
              </w:rPr>
              <w:t>-</w:t>
            </w:r>
            <w:r w:rsidRPr="002F1C64">
              <w:rPr>
                <w:rFonts w:cs="Calibri"/>
                <w:sz w:val="20"/>
                <w:lang w:val="en-US"/>
              </w:rPr>
              <w:t>,</w:t>
            </w:r>
            <w:r w:rsidRPr="002F1C64">
              <w:rPr>
                <w:sz w:val="20"/>
                <w:lang w:val="en-US"/>
              </w:rPr>
              <w:t xml:space="preserve"> </w:t>
            </w:r>
            <w:r w:rsidRPr="002F1C64">
              <w:rPr>
                <w:b/>
                <w:bCs/>
                <w:sz w:val="20"/>
                <w:vertAlign w:val="superscript"/>
                <w:lang w:val="en-US"/>
              </w:rPr>
              <w:t>9</w:t>
            </w:r>
            <w:r w:rsidRPr="002F1C64">
              <w:rPr>
                <w:b/>
                <w:bCs/>
                <w:sz w:val="20"/>
                <w:lang w:val="en-US"/>
              </w:rPr>
              <w:t>Be</w:t>
            </w:r>
            <w:r w:rsidRPr="002F1C64">
              <w:rPr>
                <w:sz w:val="20"/>
                <w:lang w:val="en-US"/>
              </w:rPr>
              <w:t xml:space="preserve"> /49.2%</w:t>
            </w:r>
            <w:r w:rsidR="00E0793D">
              <w:rPr>
                <w:sz w:val="20"/>
                <w:lang w:val="en-US"/>
              </w:rPr>
              <w:t xml:space="preserve"> B.R.</w:t>
            </w:r>
          </w:p>
          <w:p w:rsidR="00870DDD" w:rsidRPr="002F1C64" w:rsidRDefault="00870DDD" w:rsidP="002F1C64">
            <w:pPr>
              <w:jc w:val="both"/>
              <w:rPr>
                <w:sz w:val="20"/>
                <w:lang w:val="en-US"/>
              </w:rPr>
            </w:pPr>
            <w:r w:rsidRPr="002F1C64">
              <w:rPr>
                <w:rFonts w:ascii="Symbol" w:hAnsi="Symbol"/>
                <w:sz w:val="20"/>
                <w:lang w:val="en-US"/>
              </w:rPr>
              <w:t></w:t>
            </w:r>
            <w:r w:rsidRPr="002F1C64">
              <w:rPr>
                <w:sz w:val="20"/>
                <w:vertAlign w:val="superscript"/>
                <w:lang w:val="en-US"/>
              </w:rPr>
              <w:t>-</w:t>
            </w:r>
            <w:r w:rsidRPr="002F1C64">
              <w:rPr>
                <w:rFonts w:cs="Calibri"/>
                <w:sz w:val="20"/>
                <w:lang w:val="en-US"/>
              </w:rPr>
              <w:t>,</w:t>
            </w:r>
            <w:r w:rsidRPr="002F1C64">
              <w:rPr>
                <w:sz w:val="20"/>
                <w:lang w:val="en-US"/>
              </w:rPr>
              <w:t xml:space="preserve"> n+(</w:t>
            </w:r>
            <w:r w:rsidRPr="002F1C64">
              <w:rPr>
                <w:sz w:val="20"/>
                <w:vertAlign w:val="superscript"/>
                <w:lang w:val="en-US"/>
              </w:rPr>
              <w:t>8</w:t>
            </w:r>
            <w:r w:rsidRPr="002F1C64">
              <w:rPr>
                <w:sz w:val="20"/>
                <w:lang w:val="en-US"/>
              </w:rPr>
              <w:t>Be</w:t>
            </w:r>
            <w:r w:rsidRPr="002F1C64">
              <w:rPr>
                <w:rFonts w:cs="Calibri"/>
                <w:sz w:val="20"/>
                <w:lang w:val="en-US"/>
              </w:rPr>
              <w:t>→</w:t>
            </w:r>
            <w:r w:rsidRPr="002F1C64">
              <w:rPr>
                <w:rFonts w:ascii="Symbol" w:hAnsi="Symbol" w:cs="Calibri"/>
                <w:sz w:val="20"/>
                <w:lang w:val="en-US"/>
              </w:rPr>
              <w:t></w:t>
            </w:r>
            <w:r w:rsidRPr="002F1C64">
              <w:rPr>
                <w:rFonts w:cs="Calibri"/>
                <w:sz w:val="20"/>
                <w:lang w:val="en-US"/>
              </w:rPr>
              <w:t>+</w:t>
            </w:r>
            <w:r w:rsidRPr="002F1C64">
              <w:rPr>
                <w:rFonts w:ascii="Symbol" w:hAnsi="Symbol" w:cs="Calibri"/>
                <w:sz w:val="20"/>
                <w:lang w:val="en-US"/>
              </w:rPr>
              <w:t></w:t>
            </w:r>
            <w:r w:rsidRPr="002F1C64">
              <w:rPr>
                <w:rFonts w:ascii="Symbol" w:hAnsi="Symbol" w:cs="Calibri"/>
                <w:sz w:val="20"/>
                <w:lang w:val="en-US"/>
              </w:rPr>
              <w:t></w:t>
            </w:r>
            <w:r w:rsidRPr="002F1C64">
              <w:rPr>
                <w:rFonts w:ascii="Symbol" w:hAnsi="Symbol" w:cs="Calibri"/>
                <w:sz w:val="20"/>
                <w:lang w:val="en-US"/>
              </w:rPr>
              <w:t></w:t>
            </w:r>
            <w:r w:rsidRPr="002F1C64">
              <w:rPr>
                <w:rFonts w:ascii="Symbol" w:hAnsi="Symbol" w:cs="Calibri"/>
                <w:sz w:val="20"/>
                <w:lang w:val="en-US"/>
              </w:rPr>
              <w:t></w:t>
            </w:r>
            <w:r w:rsidRPr="002F1C64">
              <w:rPr>
                <w:sz w:val="20"/>
                <w:lang w:val="en-US"/>
              </w:rPr>
              <w:t>50.8%</w:t>
            </w:r>
            <w:r w:rsidR="00E0793D">
              <w:rPr>
                <w:sz w:val="20"/>
                <w:lang w:val="en-US"/>
              </w:rPr>
              <w:t xml:space="preserve"> B.R.</w:t>
            </w:r>
          </w:p>
        </w:tc>
        <w:tc>
          <w:tcPr>
            <w:tcW w:w="1164" w:type="dxa"/>
            <w:shd w:val="clear" w:color="auto" w:fill="CCFFCC"/>
          </w:tcPr>
          <w:p w:rsidR="00870DDD" w:rsidRPr="002F1C64" w:rsidRDefault="00870DDD" w:rsidP="002F1C64">
            <w:pPr>
              <w:jc w:val="center"/>
              <w:rPr>
                <w:sz w:val="20"/>
                <w:lang w:val="en-US"/>
              </w:rPr>
            </w:pPr>
            <w:r w:rsidRPr="002F1C64">
              <w:rPr>
                <w:sz w:val="20"/>
                <w:lang w:val="en-US"/>
              </w:rPr>
              <w:t>147</w:t>
            </w:r>
          </w:p>
        </w:tc>
        <w:tc>
          <w:tcPr>
            <w:tcW w:w="1524" w:type="dxa"/>
            <w:shd w:val="clear" w:color="auto" w:fill="CCFFCC"/>
          </w:tcPr>
          <w:p w:rsidR="00870DDD" w:rsidRPr="002F1C64" w:rsidRDefault="00870DDD" w:rsidP="002F1C64">
            <w:pPr>
              <w:jc w:val="both"/>
              <w:rPr>
                <w:sz w:val="20"/>
                <w:lang w:val="en-US"/>
              </w:rPr>
            </w:pPr>
            <w:r w:rsidRPr="002F1C64">
              <w:rPr>
                <w:sz w:val="20"/>
                <w:lang w:val="en-US"/>
              </w:rPr>
              <w:t>ISOL, In-flight</w:t>
            </w:r>
          </w:p>
        </w:tc>
        <w:tc>
          <w:tcPr>
            <w:tcW w:w="1524" w:type="dxa"/>
            <w:shd w:val="clear" w:color="auto" w:fill="CCFFCC"/>
          </w:tcPr>
          <w:p w:rsidR="00F01610" w:rsidRPr="002F1C64" w:rsidRDefault="00F01610" w:rsidP="002F1C64">
            <w:pPr>
              <w:jc w:val="both"/>
              <w:rPr>
                <w:sz w:val="20"/>
                <w:lang w:val="en-US"/>
              </w:rPr>
            </w:pPr>
            <w:r>
              <w:rPr>
                <w:sz w:val="20"/>
                <w:lang w:val="en-US"/>
              </w:rPr>
              <w:t>Increased DDIS</w:t>
            </w:r>
          </w:p>
        </w:tc>
      </w:tr>
      <w:tr w:rsidR="00870DDD" w:rsidRPr="002F1C64" w:rsidTr="00484762">
        <w:tc>
          <w:tcPr>
            <w:tcW w:w="535" w:type="dxa"/>
            <w:shd w:val="clear" w:color="auto" w:fill="CCFFCC"/>
          </w:tcPr>
          <w:p w:rsidR="00870DDD" w:rsidRPr="002F1C64" w:rsidRDefault="00870DDD" w:rsidP="002F1C64">
            <w:pPr>
              <w:jc w:val="center"/>
              <w:rPr>
                <w:sz w:val="20"/>
                <w:lang w:val="en-US"/>
              </w:rPr>
            </w:pPr>
            <w:r w:rsidRPr="002F1C64">
              <w:rPr>
                <w:sz w:val="20"/>
                <w:vertAlign w:val="superscript"/>
                <w:lang w:val="en-US"/>
              </w:rPr>
              <w:t>9</w:t>
            </w:r>
            <w:r w:rsidRPr="002F1C64">
              <w:rPr>
                <w:sz w:val="20"/>
                <w:lang w:val="en-US"/>
              </w:rPr>
              <w:t>C</w:t>
            </w:r>
          </w:p>
        </w:tc>
        <w:tc>
          <w:tcPr>
            <w:tcW w:w="1152" w:type="dxa"/>
            <w:shd w:val="clear" w:color="auto" w:fill="CCFFCC"/>
          </w:tcPr>
          <w:p w:rsidR="00870DDD" w:rsidRPr="002F1C64" w:rsidRDefault="00870DDD" w:rsidP="002F1C64">
            <w:pPr>
              <w:jc w:val="center"/>
              <w:rPr>
                <w:sz w:val="20"/>
                <w:lang w:val="en-US"/>
              </w:rPr>
            </w:pPr>
            <w:r w:rsidRPr="002F1C64">
              <w:rPr>
                <w:sz w:val="20"/>
                <w:lang w:val="en-US"/>
              </w:rPr>
              <w:t xml:space="preserve">126.5 </w:t>
            </w:r>
            <w:proofErr w:type="spellStart"/>
            <w:r w:rsidRPr="002F1C64">
              <w:rPr>
                <w:sz w:val="20"/>
                <w:lang w:val="en-US"/>
              </w:rPr>
              <w:t>ms</w:t>
            </w:r>
            <w:proofErr w:type="spellEnd"/>
          </w:p>
        </w:tc>
        <w:tc>
          <w:tcPr>
            <w:tcW w:w="3240" w:type="dxa"/>
            <w:shd w:val="clear" w:color="auto" w:fill="CCFFCC"/>
          </w:tcPr>
          <w:p w:rsidR="00870DDD" w:rsidRPr="00E0793D" w:rsidRDefault="00870DDD" w:rsidP="002F1C64">
            <w:pPr>
              <w:jc w:val="both"/>
              <w:rPr>
                <w:b/>
                <w:sz w:val="20"/>
                <w:vertAlign w:val="superscript"/>
                <w:lang w:val="en-US"/>
              </w:rPr>
            </w:pPr>
            <w:r w:rsidRPr="002F1C64">
              <w:rPr>
                <w:rFonts w:ascii="Symbol" w:hAnsi="Symbol"/>
                <w:sz w:val="20"/>
                <w:lang w:val="en-US"/>
              </w:rPr>
              <w:t></w:t>
            </w:r>
            <w:r w:rsidRPr="002F1C64">
              <w:rPr>
                <w:sz w:val="20"/>
                <w:vertAlign w:val="superscript"/>
                <w:lang w:val="en-US"/>
              </w:rPr>
              <w:t>+</w:t>
            </w:r>
            <w:r w:rsidRPr="002F1C64">
              <w:rPr>
                <w:rFonts w:cs="Calibri"/>
                <w:sz w:val="20"/>
                <w:lang w:val="en-US"/>
              </w:rPr>
              <w:t>,</w:t>
            </w:r>
            <w:r w:rsidRPr="002F1C64">
              <w:rPr>
                <w:sz w:val="20"/>
                <w:lang w:val="en-US"/>
              </w:rPr>
              <w:t xml:space="preserve"> </w:t>
            </w:r>
            <w:r w:rsidR="00533459">
              <w:rPr>
                <w:sz w:val="20"/>
                <w:lang w:val="en-US"/>
              </w:rPr>
              <w:t>p+(</w:t>
            </w:r>
            <w:r w:rsidRPr="002F1C64">
              <w:rPr>
                <w:sz w:val="20"/>
                <w:vertAlign w:val="superscript"/>
                <w:lang w:val="en-US"/>
              </w:rPr>
              <w:t>8</w:t>
            </w:r>
            <w:r w:rsidRPr="002F1C64">
              <w:rPr>
                <w:sz w:val="20"/>
                <w:lang w:val="en-US"/>
              </w:rPr>
              <w:t>Be</w:t>
            </w:r>
            <w:r w:rsidRPr="002F1C64">
              <w:rPr>
                <w:rFonts w:cs="Calibri"/>
                <w:sz w:val="20"/>
                <w:lang w:val="en-US"/>
              </w:rPr>
              <w:t>→</w:t>
            </w:r>
            <w:r w:rsidRPr="002F1C64">
              <w:rPr>
                <w:rFonts w:ascii="Symbol" w:hAnsi="Symbol" w:cs="Calibri"/>
                <w:sz w:val="20"/>
                <w:lang w:val="en-US"/>
              </w:rPr>
              <w:t></w:t>
            </w:r>
            <w:r w:rsidRPr="002F1C64">
              <w:rPr>
                <w:rFonts w:cs="Calibri"/>
                <w:sz w:val="20"/>
                <w:lang w:val="en-US"/>
              </w:rPr>
              <w:t>+</w:t>
            </w:r>
            <w:r w:rsidRPr="002F1C64">
              <w:rPr>
                <w:rFonts w:ascii="Symbol" w:hAnsi="Symbol" w:cs="Calibri"/>
                <w:sz w:val="20"/>
                <w:lang w:val="en-US"/>
              </w:rPr>
              <w:t></w:t>
            </w:r>
            <w:r w:rsidR="00533459">
              <w:rPr>
                <w:rFonts w:ascii="Symbol" w:hAnsi="Symbol" w:cs="Calibri"/>
                <w:sz w:val="20"/>
                <w:lang w:val="en-US"/>
              </w:rPr>
              <w:t></w:t>
            </w:r>
            <w:r w:rsidRPr="002F1C64">
              <w:rPr>
                <w:sz w:val="20"/>
                <w:lang w:val="en-US"/>
              </w:rPr>
              <w:t xml:space="preserve"> /61.6%</w:t>
            </w:r>
            <w:r w:rsidR="00E0793D">
              <w:rPr>
                <w:sz w:val="20"/>
                <w:lang w:val="en-US"/>
              </w:rPr>
              <w:t xml:space="preserve"> </w:t>
            </w:r>
          </w:p>
          <w:p w:rsidR="00870DDD" w:rsidRPr="002F1C64" w:rsidRDefault="00870DDD" w:rsidP="00533459">
            <w:pPr>
              <w:jc w:val="both"/>
              <w:rPr>
                <w:sz w:val="20"/>
                <w:lang w:val="en-US"/>
              </w:rPr>
            </w:pPr>
            <w:r w:rsidRPr="002F1C64">
              <w:rPr>
                <w:rFonts w:ascii="Symbol" w:hAnsi="Symbol"/>
                <w:sz w:val="20"/>
                <w:lang w:val="en-US"/>
              </w:rPr>
              <w:t></w:t>
            </w:r>
            <w:r w:rsidRPr="002F1C64">
              <w:rPr>
                <w:sz w:val="20"/>
                <w:vertAlign w:val="superscript"/>
                <w:lang w:val="en-US"/>
              </w:rPr>
              <w:t>+</w:t>
            </w:r>
            <w:r w:rsidRPr="002F1C64">
              <w:rPr>
                <w:rFonts w:cs="Calibri"/>
                <w:sz w:val="20"/>
                <w:lang w:val="en-US"/>
              </w:rPr>
              <w:t>,</w:t>
            </w:r>
            <w:r w:rsidRPr="002F1C64">
              <w:rPr>
                <w:sz w:val="20"/>
                <w:lang w:val="en-US"/>
              </w:rPr>
              <w:t xml:space="preserve"> </w:t>
            </w:r>
            <w:r w:rsidRPr="002F1C64">
              <w:rPr>
                <w:rFonts w:ascii="Symbol" w:hAnsi="Symbol" w:cs="Calibri"/>
                <w:sz w:val="20"/>
                <w:lang w:val="en-US"/>
              </w:rPr>
              <w:t></w:t>
            </w:r>
            <w:r w:rsidRPr="002F1C64">
              <w:rPr>
                <w:rFonts w:cs="Calibri"/>
                <w:sz w:val="20"/>
                <w:lang w:val="en-US"/>
              </w:rPr>
              <w:t>+(</w:t>
            </w:r>
            <w:r w:rsidRPr="002F1C64">
              <w:rPr>
                <w:sz w:val="20"/>
                <w:vertAlign w:val="superscript"/>
                <w:lang w:val="en-US"/>
              </w:rPr>
              <w:t>5</w:t>
            </w:r>
            <w:r w:rsidRPr="002F1C64">
              <w:rPr>
                <w:sz w:val="20"/>
                <w:lang w:val="en-US"/>
              </w:rPr>
              <w:t>Li</w:t>
            </w:r>
            <w:r w:rsidRPr="002F1C64">
              <w:rPr>
                <w:rFonts w:cs="Calibri"/>
                <w:sz w:val="20"/>
                <w:lang w:val="en-US"/>
              </w:rPr>
              <w:t>→p+</w:t>
            </w:r>
            <w:r w:rsidRPr="002F1C64">
              <w:rPr>
                <w:rFonts w:ascii="Symbol" w:hAnsi="Symbol" w:cs="Calibri"/>
                <w:sz w:val="20"/>
                <w:lang w:val="en-US"/>
              </w:rPr>
              <w:t></w:t>
            </w:r>
            <w:r w:rsidRPr="002F1C64">
              <w:rPr>
                <w:rFonts w:ascii="Symbol" w:hAnsi="Symbol" w:cs="Calibri"/>
                <w:sz w:val="20"/>
                <w:lang w:val="en-US"/>
              </w:rPr>
              <w:t></w:t>
            </w:r>
            <w:r w:rsidRPr="002F1C64">
              <w:rPr>
                <w:rFonts w:ascii="Symbol" w:hAnsi="Symbol" w:cs="Calibri"/>
                <w:sz w:val="20"/>
                <w:lang w:val="en-US"/>
              </w:rPr>
              <w:t></w:t>
            </w:r>
            <w:r w:rsidRPr="002F1C64">
              <w:rPr>
                <w:rFonts w:ascii="Symbol" w:hAnsi="Symbol" w:cs="Calibri"/>
                <w:sz w:val="20"/>
                <w:lang w:val="en-US"/>
              </w:rPr>
              <w:t></w:t>
            </w:r>
            <w:r w:rsidRPr="002F1C64">
              <w:rPr>
                <w:sz w:val="20"/>
                <w:lang w:val="en-US"/>
              </w:rPr>
              <w:t>38.4%</w:t>
            </w:r>
            <w:r w:rsidR="00E0793D">
              <w:rPr>
                <w:sz w:val="20"/>
                <w:lang w:val="en-US"/>
              </w:rPr>
              <w:t xml:space="preserve"> B.R.</w:t>
            </w:r>
          </w:p>
        </w:tc>
        <w:tc>
          <w:tcPr>
            <w:tcW w:w="1164" w:type="dxa"/>
            <w:shd w:val="clear" w:color="auto" w:fill="CCFFCC"/>
          </w:tcPr>
          <w:p w:rsidR="00870DDD" w:rsidRPr="002F1C64" w:rsidRDefault="00870DDD" w:rsidP="002F1C64">
            <w:pPr>
              <w:jc w:val="center"/>
              <w:rPr>
                <w:sz w:val="20"/>
                <w:lang w:val="en-US"/>
              </w:rPr>
            </w:pPr>
            <w:r w:rsidRPr="002F1C64">
              <w:rPr>
                <w:sz w:val="20"/>
                <w:lang w:val="en-US"/>
              </w:rPr>
              <w:t>327</w:t>
            </w:r>
          </w:p>
        </w:tc>
        <w:tc>
          <w:tcPr>
            <w:tcW w:w="1524" w:type="dxa"/>
            <w:shd w:val="clear" w:color="auto" w:fill="CCFFCC"/>
          </w:tcPr>
          <w:p w:rsidR="00870DDD" w:rsidRPr="002F1C64" w:rsidRDefault="00870DDD" w:rsidP="002F1C64">
            <w:pPr>
              <w:jc w:val="both"/>
              <w:rPr>
                <w:sz w:val="20"/>
                <w:lang w:val="en-US"/>
              </w:rPr>
            </w:pPr>
            <w:r w:rsidRPr="002F1C64">
              <w:rPr>
                <w:sz w:val="20"/>
                <w:lang w:val="en-US"/>
              </w:rPr>
              <w:t>In-flight</w:t>
            </w:r>
          </w:p>
        </w:tc>
        <w:tc>
          <w:tcPr>
            <w:tcW w:w="1524" w:type="dxa"/>
            <w:shd w:val="clear" w:color="auto" w:fill="CCFFCC"/>
          </w:tcPr>
          <w:p w:rsidR="00870DDD" w:rsidRPr="002F1C64" w:rsidRDefault="00F01610" w:rsidP="002F1C64">
            <w:pPr>
              <w:jc w:val="both"/>
              <w:rPr>
                <w:sz w:val="20"/>
                <w:lang w:val="en-US"/>
              </w:rPr>
            </w:pPr>
            <w:r>
              <w:rPr>
                <w:sz w:val="20"/>
                <w:lang w:val="en-US"/>
              </w:rPr>
              <w:t>Increased DDIS</w:t>
            </w:r>
          </w:p>
        </w:tc>
      </w:tr>
      <w:tr w:rsidR="00870DDD" w:rsidRPr="002F1C64" w:rsidTr="00484762">
        <w:tc>
          <w:tcPr>
            <w:tcW w:w="535" w:type="dxa"/>
            <w:shd w:val="clear" w:color="auto" w:fill="CCFFFF"/>
          </w:tcPr>
          <w:p w:rsidR="00870DDD" w:rsidRPr="002F1C64" w:rsidRDefault="00870DDD" w:rsidP="002F1C64">
            <w:pPr>
              <w:jc w:val="center"/>
              <w:rPr>
                <w:sz w:val="20"/>
                <w:lang w:val="en-US"/>
              </w:rPr>
            </w:pPr>
            <w:r w:rsidRPr="002F1C64">
              <w:rPr>
                <w:sz w:val="20"/>
                <w:vertAlign w:val="superscript"/>
                <w:lang w:val="en-US"/>
              </w:rPr>
              <w:t>11</w:t>
            </w:r>
            <w:r w:rsidRPr="002F1C64">
              <w:rPr>
                <w:sz w:val="20"/>
                <w:lang w:val="en-US"/>
              </w:rPr>
              <w:t>C</w:t>
            </w:r>
          </w:p>
        </w:tc>
        <w:tc>
          <w:tcPr>
            <w:tcW w:w="1152" w:type="dxa"/>
            <w:shd w:val="clear" w:color="auto" w:fill="CCFFFF"/>
          </w:tcPr>
          <w:p w:rsidR="00870DDD" w:rsidRPr="002F1C64" w:rsidRDefault="00870DDD" w:rsidP="002F1C64">
            <w:pPr>
              <w:jc w:val="center"/>
              <w:rPr>
                <w:sz w:val="20"/>
                <w:lang w:val="en-US"/>
              </w:rPr>
            </w:pPr>
            <w:r w:rsidRPr="002F1C64">
              <w:rPr>
                <w:sz w:val="20"/>
                <w:lang w:val="en-US"/>
              </w:rPr>
              <w:t>20.364 min</w:t>
            </w:r>
          </w:p>
        </w:tc>
        <w:tc>
          <w:tcPr>
            <w:tcW w:w="3240" w:type="dxa"/>
            <w:shd w:val="clear" w:color="auto" w:fill="CCFFFF"/>
          </w:tcPr>
          <w:p w:rsidR="00870DDD" w:rsidRPr="002F1C64" w:rsidRDefault="00870DDD" w:rsidP="002F1C64">
            <w:pPr>
              <w:jc w:val="both"/>
              <w:rPr>
                <w:sz w:val="20"/>
                <w:lang w:val="en-US"/>
              </w:rPr>
            </w:pPr>
            <w:r w:rsidRPr="002F1C64">
              <w:rPr>
                <w:rFonts w:ascii="Symbol" w:hAnsi="Symbol"/>
                <w:sz w:val="20"/>
                <w:lang w:val="en-US"/>
              </w:rPr>
              <w:t></w:t>
            </w:r>
            <w:r w:rsidRPr="002F1C64">
              <w:rPr>
                <w:sz w:val="20"/>
                <w:vertAlign w:val="superscript"/>
                <w:lang w:val="en-US"/>
              </w:rPr>
              <w:t>+</w:t>
            </w:r>
            <w:r w:rsidRPr="002F1C64">
              <w:rPr>
                <w:sz w:val="20"/>
                <w:lang w:val="en-US"/>
              </w:rPr>
              <w:t xml:space="preserve">, </w:t>
            </w:r>
            <w:r w:rsidRPr="002F1C64">
              <w:rPr>
                <w:b/>
                <w:bCs/>
                <w:sz w:val="20"/>
                <w:vertAlign w:val="superscript"/>
                <w:lang w:val="en-US"/>
              </w:rPr>
              <w:t>11</w:t>
            </w:r>
            <w:r w:rsidRPr="002F1C64">
              <w:rPr>
                <w:b/>
                <w:bCs/>
                <w:sz w:val="20"/>
                <w:lang w:val="en-US"/>
              </w:rPr>
              <w:t>B</w:t>
            </w:r>
            <w:r w:rsidRPr="002F1C64">
              <w:rPr>
                <w:sz w:val="20"/>
                <w:lang w:val="en-US"/>
              </w:rPr>
              <w:t xml:space="preserve"> /99.8%</w:t>
            </w:r>
            <w:r w:rsidR="00E0793D">
              <w:rPr>
                <w:sz w:val="20"/>
                <w:lang w:val="en-US"/>
              </w:rPr>
              <w:t xml:space="preserve"> B.R.</w:t>
            </w:r>
            <w:r w:rsidRPr="002F1C64">
              <w:rPr>
                <w:sz w:val="20"/>
                <w:lang w:val="en-US"/>
              </w:rPr>
              <w:t xml:space="preserve">, </w:t>
            </w:r>
            <w:r w:rsidRPr="00E0793D">
              <w:rPr>
                <w:i/>
                <w:sz w:val="20"/>
                <w:lang w:val="en-US"/>
              </w:rPr>
              <w:t>E</w:t>
            </w:r>
            <w:r w:rsidRPr="00E0793D">
              <w:rPr>
                <w:i/>
                <w:sz w:val="20"/>
                <w:vertAlign w:val="subscript"/>
                <w:lang w:val="en-US"/>
              </w:rPr>
              <w:t>0</w:t>
            </w:r>
            <w:r>
              <w:rPr>
                <w:sz w:val="20"/>
                <w:lang w:val="en-US"/>
              </w:rPr>
              <w:t xml:space="preserve"> = </w:t>
            </w:r>
            <w:r w:rsidRPr="002F1C64">
              <w:rPr>
                <w:sz w:val="20"/>
                <w:lang w:val="en-US"/>
              </w:rPr>
              <w:t>960</w:t>
            </w:r>
            <w:r w:rsidR="00484762">
              <w:rPr>
                <w:sz w:val="20"/>
                <w:lang w:val="en-US"/>
              </w:rPr>
              <w:t>.5</w:t>
            </w:r>
            <w:r w:rsidRPr="002F1C64">
              <w:rPr>
                <w:sz w:val="20"/>
                <w:lang w:val="en-US"/>
              </w:rPr>
              <w:t xml:space="preserve"> </w:t>
            </w:r>
            <w:proofErr w:type="spellStart"/>
            <w:r w:rsidRPr="002F1C64">
              <w:rPr>
                <w:sz w:val="20"/>
                <w:lang w:val="en-US"/>
              </w:rPr>
              <w:t>keV</w:t>
            </w:r>
            <w:proofErr w:type="spellEnd"/>
          </w:p>
          <w:p w:rsidR="00870DDD" w:rsidRPr="002F1C64" w:rsidRDefault="00870DDD" w:rsidP="002F1C64">
            <w:pPr>
              <w:jc w:val="both"/>
              <w:rPr>
                <w:sz w:val="20"/>
                <w:lang w:val="en-US"/>
              </w:rPr>
            </w:pPr>
            <w:r w:rsidRPr="002F1C64">
              <w:rPr>
                <w:sz w:val="20"/>
                <w:lang w:val="en-US"/>
              </w:rPr>
              <w:t>E.C. /0.2%</w:t>
            </w:r>
            <w:r w:rsidR="00E0793D">
              <w:rPr>
                <w:sz w:val="20"/>
                <w:lang w:val="en-US"/>
              </w:rPr>
              <w:t xml:space="preserve"> B.R.</w:t>
            </w:r>
            <w:r w:rsidR="00484762">
              <w:rPr>
                <w:sz w:val="20"/>
                <w:lang w:val="en-US"/>
              </w:rPr>
              <w:t xml:space="preserve"> </w:t>
            </w:r>
          </w:p>
        </w:tc>
        <w:tc>
          <w:tcPr>
            <w:tcW w:w="1164" w:type="dxa"/>
            <w:shd w:val="clear" w:color="auto" w:fill="CCFFFF"/>
          </w:tcPr>
          <w:p w:rsidR="00870DDD" w:rsidRPr="002F1C64" w:rsidRDefault="00870DDD" w:rsidP="002F1C64">
            <w:pPr>
              <w:jc w:val="center"/>
              <w:rPr>
                <w:sz w:val="20"/>
                <w:lang w:val="en-US"/>
              </w:rPr>
            </w:pPr>
            <w:r w:rsidRPr="002F1C64">
              <w:rPr>
                <w:sz w:val="20"/>
                <w:lang w:val="en-US"/>
              </w:rPr>
              <w:t>289</w:t>
            </w:r>
          </w:p>
        </w:tc>
        <w:tc>
          <w:tcPr>
            <w:tcW w:w="1524" w:type="dxa"/>
            <w:shd w:val="clear" w:color="auto" w:fill="CCFFFF"/>
          </w:tcPr>
          <w:p w:rsidR="00870DDD" w:rsidRPr="002F1C64" w:rsidRDefault="00870DDD" w:rsidP="002F1C64">
            <w:pPr>
              <w:jc w:val="both"/>
              <w:rPr>
                <w:sz w:val="20"/>
                <w:lang w:val="en-US"/>
              </w:rPr>
            </w:pPr>
            <w:r w:rsidRPr="002F1C64">
              <w:rPr>
                <w:sz w:val="20"/>
                <w:lang w:val="en-US"/>
              </w:rPr>
              <w:t>In-flight</w:t>
            </w:r>
          </w:p>
        </w:tc>
        <w:tc>
          <w:tcPr>
            <w:tcW w:w="1524" w:type="dxa"/>
            <w:shd w:val="clear" w:color="auto" w:fill="CCFFFF"/>
          </w:tcPr>
          <w:p w:rsidR="00870DDD" w:rsidRPr="002F1C64" w:rsidRDefault="00870DDD" w:rsidP="002F1C64">
            <w:pPr>
              <w:jc w:val="both"/>
              <w:rPr>
                <w:sz w:val="20"/>
                <w:lang w:val="en-US"/>
              </w:rPr>
            </w:pPr>
            <w:r w:rsidRPr="002F1C64">
              <w:rPr>
                <w:sz w:val="20"/>
                <w:lang w:val="en-US"/>
              </w:rPr>
              <w:t>Dose monitoring</w:t>
            </w:r>
          </w:p>
        </w:tc>
      </w:tr>
      <w:tr w:rsidR="00870DDD" w:rsidRPr="002F1C64" w:rsidTr="00484762">
        <w:tc>
          <w:tcPr>
            <w:tcW w:w="535" w:type="dxa"/>
            <w:shd w:val="clear" w:color="auto" w:fill="CCFFFF"/>
          </w:tcPr>
          <w:p w:rsidR="00870DDD" w:rsidRPr="002F1C64" w:rsidRDefault="00870DDD" w:rsidP="002F1C64">
            <w:pPr>
              <w:jc w:val="center"/>
              <w:rPr>
                <w:sz w:val="20"/>
                <w:lang w:val="en-US"/>
              </w:rPr>
            </w:pPr>
            <w:r w:rsidRPr="002F1C64">
              <w:rPr>
                <w:sz w:val="20"/>
                <w:vertAlign w:val="superscript"/>
                <w:lang w:val="en-US"/>
              </w:rPr>
              <w:t>13</w:t>
            </w:r>
            <w:r w:rsidRPr="002F1C64">
              <w:rPr>
                <w:sz w:val="20"/>
                <w:lang w:val="en-US"/>
              </w:rPr>
              <w:t>N</w:t>
            </w:r>
          </w:p>
        </w:tc>
        <w:tc>
          <w:tcPr>
            <w:tcW w:w="1152" w:type="dxa"/>
            <w:shd w:val="clear" w:color="auto" w:fill="CCFFFF"/>
          </w:tcPr>
          <w:p w:rsidR="00870DDD" w:rsidRPr="002F1C64" w:rsidRDefault="00870DDD" w:rsidP="002F1C64">
            <w:pPr>
              <w:jc w:val="center"/>
              <w:rPr>
                <w:sz w:val="20"/>
                <w:lang w:val="en-US"/>
              </w:rPr>
            </w:pPr>
            <w:r w:rsidRPr="002F1C64">
              <w:rPr>
                <w:sz w:val="20"/>
                <w:lang w:val="en-US"/>
              </w:rPr>
              <w:t>9.965 min</w:t>
            </w:r>
          </w:p>
        </w:tc>
        <w:tc>
          <w:tcPr>
            <w:tcW w:w="3240" w:type="dxa"/>
            <w:shd w:val="clear" w:color="auto" w:fill="CCFFFF"/>
          </w:tcPr>
          <w:p w:rsidR="00870DDD" w:rsidRPr="002F1C64" w:rsidRDefault="00870DDD" w:rsidP="002F1C64">
            <w:pPr>
              <w:jc w:val="both"/>
              <w:rPr>
                <w:sz w:val="20"/>
                <w:lang w:val="en-US"/>
              </w:rPr>
            </w:pPr>
            <w:r w:rsidRPr="002F1C64">
              <w:rPr>
                <w:rFonts w:ascii="Symbol" w:hAnsi="Symbol"/>
                <w:sz w:val="20"/>
                <w:lang w:val="en-US"/>
              </w:rPr>
              <w:t></w:t>
            </w:r>
            <w:r w:rsidRPr="002F1C64">
              <w:rPr>
                <w:sz w:val="20"/>
                <w:vertAlign w:val="superscript"/>
                <w:lang w:val="en-US"/>
              </w:rPr>
              <w:t>+</w:t>
            </w:r>
            <w:r w:rsidRPr="002F1C64">
              <w:rPr>
                <w:sz w:val="20"/>
                <w:lang w:val="en-US"/>
              </w:rPr>
              <w:t xml:space="preserve">, </w:t>
            </w:r>
            <w:r w:rsidRPr="002F1C64">
              <w:rPr>
                <w:b/>
                <w:bCs/>
                <w:sz w:val="20"/>
                <w:vertAlign w:val="superscript"/>
                <w:lang w:val="en-US"/>
              </w:rPr>
              <w:t>12</w:t>
            </w:r>
            <w:r w:rsidRPr="002F1C64">
              <w:rPr>
                <w:b/>
                <w:bCs/>
                <w:sz w:val="20"/>
                <w:lang w:val="en-US"/>
              </w:rPr>
              <w:t>C</w:t>
            </w:r>
            <w:r w:rsidRPr="002F1C64">
              <w:rPr>
                <w:sz w:val="20"/>
                <w:lang w:val="en-US"/>
              </w:rPr>
              <w:t xml:space="preserve">, </w:t>
            </w:r>
            <w:r w:rsidRPr="00E0793D">
              <w:rPr>
                <w:i/>
                <w:sz w:val="20"/>
                <w:lang w:val="en-US"/>
              </w:rPr>
              <w:t>E</w:t>
            </w:r>
            <w:r w:rsidRPr="00E0793D">
              <w:rPr>
                <w:i/>
                <w:sz w:val="20"/>
                <w:vertAlign w:val="subscript"/>
                <w:lang w:val="en-US"/>
              </w:rPr>
              <w:t>0</w:t>
            </w:r>
            <w:r>
              <w:rPr>
                <w:sz w:val="20"/>
                <w:lang w:val="en-US"/>
              </w:rPr>
              <w:t xml:space="preserve"> = 1198.5</w:t>
            </w:r>
            <w:r w:rsidRPr="002F1C64">
              <w:rPr>
                <w:sz w:val="20"/>
                <w:lang w:val="en-US"/>
              </w:rPr>
              <w:t xml:space="preserve"> </w:t>
            </w:r>
            <w:proofErr w:type="spellStart"/>
            <w:r w:rsidRPr="002F1C64">
              <w:rPr>
                <w:sz w:val="20"/>
                <w:lang w:val="en-US"/>
              </w:rPr>
              <w:t>keV</w:t>
            </w:r>
            <w:proofErr w:type="spellEnd"/>
          </w:p>
        </w:tc>
        <w:tc>
          <w:tcPr>
            <w:tcW w:w="1164" w:type="dxa"/>
            <w:shd w:val="clear" w:color="auto" w:fill="CCFFFF"/>
          </w:tcPr>
          <w:p w:rsidR="00870DDD" w:rsidRPr="002F1C64" w:rsidRDefault="00870DDD" w:rsidP="002F1C64">
            <w:pPr>
              <w:jc w:val="center"/>
              <w:rPr>
                <w:sz w:val="20"/>
                <w:lang w:val="en-US"/>
              </w:rPr>
            </w:pPr>
            <w:r w:rsidRPr="002F1C64">
              <w:rPr>
                <w:sz w:val="20"/>
                <w:lang w:val="en-US"/>
              </w:rPr>
              <w:t>318</w:t>
            </w:r>
          </w:p>
        </w:tc>
        <w:tc>
          <w:tcPr>
            <w:tcW w:w="1524" w:type="dxa"/>
            <w:shd w:val="clear" w:color="auto" w:fill="CCFFFF"/>
          </w:tcPr>
          <w:p w:rsidR="00870DDD" w:rsidRPr="002F1C64" w:rsidRDefault="00870DDD" w:rsidP="002F1C64">
            <w:pPr>
              <w:jc w:val="both"/>
              <w:rPr>
                <w:sz w:val="20"/>
                <w:lang w:val="en-US"/>
              </w:rPr>
            </w:pPr>
            <w:r w:rsidRPr="002F1C64">
              <w:rPr>
                <w:sz w:val="20"/>
                <w:lang w:val="en-US"/>
              </w:rPr>
              <w:t>ISOL, In-flight</w:t>
            </w:r>
          </w:p>
        </w:tc>
        <w:tc>
          <w:tcPr>
            <w:tcW w:w="1524" w:type="dxa"/>
            <w:shd w:val="clear" w:color="auto" w:fill="CCFFFF"/>
          </w:tcPr>
          <w:p w:rsidR="00870DDD" w:rsidRPr="002F1C64" w:rsidRDefault="00870DDD" w:rsidP="002F1C64">
            <w:pPr>
              <w:jc w:val="both"/>
              <w:rPr>
                <w:sz w:val="20"/>
                <w:lang w:val="en-US"/>
              </w:rPr>
            </w:pPr>
            <w:r w:rsidRPr="002F1C64">
              <w:rPr>
                <w:sz w:val="20"/>
                <w:lang w:val="en-US"/>
              </w:rPr>
              <w:t>Dose monitoring</w:t>
            </w:r>
          </w:p>
        </w:tc>
      </w:tr>
      <w:tr w:rsidR="00870DDD" w:rsidRPr="00F1289A" w:rsidTr="00484762">
        <w:tc>
          <w:tcPr>
            <w:tcW w:w="535" w:type="dxa"/>
            <w:shd w:val="clear" w:color="auto" w:fill="CCFFFF"/>
          </w:tcPr>
          <w:p w:rsidR="00870DDD" w:rsidRPr="002F1C64" w:rsidRDefault="00870DDD" w:rsidP="002F1C64">
            <w:pPr>
              <w:jc w:val="center"/>
              <w:rPr>
                <w:sz w:val="20"/>
                <w:lang w:val="en-US"/>
              </w:rPr>
            </w:pPr>
            <w:r w:rsidRPr="002F1C64">
              <w:rPr>
                <w:sz w:val="20"/>
                <w:vertAlign w:val="superscript"/>
                <w:lang w:val="en-US"/>
              </w:rPr>
              <w:t>15</w:t>
            </w:r>
            <w:r w:rsidRPr="002F1C64">
              <w:rPr>
                <w:sz w:val="20"/>
                <w:lang w:val="en-US"/>
              </w:rPr>
              <w:t>O</w:t>
            </w:r>
          </w:p>
        </w:tc>
        <w:tc>
          <w:tcPr>
            <w:tcW w:w="1152" w:type="dxa"/>
            <w:shd w:val="clear" w:color="auto" w:fill="CCFFFF"/>
          </w:tcPr>
          <w:p w:rsidR="00870DDD" w:rsidRPr="002F1C64" w:rsidRDefault="00870DDD" w:rsidP="002F1C64">
            <w:pPr>
              <w:jc w:val="center"/>
              <w:rPr>
                <w:sz w:val="20"/>
                <w:lang w:val="en-US"/>
              </w:rPr>
            </w:pPr>
            <w:r w:rsidRPr="002F1C64">
              <w:rPr>
                <w:sz w:val="20"/>
                <w:lang w:val="en-US"/>
              </w:rPr>
              <w:t>122.24 min</w:t>
            </w:r>
          </w:p>
        </w:tc>
        <w:tc>
          <w:tcPr>
            <w:tcW w:w="3240" w:type="dxa"/>
            <w:shd w:val="clear" w:color="auto" w:fill="CCFFFF"/>
          </w:tcPr>
          <w:p w:rsidR="00870DDD" w:rsidRPr="002F1C64" w:rsidRDefault="00870DDD" w:rsidP="002F1C64">
            <w:pPr>
              <w:jc w:val="both"/>
              <w:rPr>
                <w:sz w:val="20"/>
                <w:lang w:val="en-US"/>
              </w:rPr>
            </w:pPr>
            <w:r w:rsidRPr="002F1C64">
              <w:rPr>
                <w:rFonts w:ascii="Symbol" w:hAnsi="Symbol"/>
                <w:sz w:val="20"/>
                <w:lang w:val="en-US"/>
              </w:rPr>
              <w:t></w:t>
            </w:r>
            <w:r w:rsidRPr="002F1C64">
              <w:rPr>
                <w:sz w:val="20"/>
                <w:vertAlign w:val="superscript"/>
                <w:lang w:val="en-US"/>
              </w:rPr>
              <w:t>+</w:t>
            </w:r>
            <w:r w:rsidRPr="002F1C64">
              <w:rPr>
                <w:sz w:val="20"/>
                <w:lang w:val="en-US"/>
              </w:rPr>
              <w:t xml:space="preserve">, </w:t>
            </w:r>
            <w:r w:rsidRPr="002F1C64">
              <w:rPr>
                <w:b/>
                <w:bCs/>
                <w:sz w:val="20"/>
                <w:vertAlign w:val="superscript"/>
                <w:lang w:val="en-US"/>
              </w:rPr>
              <w:t>15</w:t>
            </w:r>
            <w:r w:rsidRPr="002F1C64">
              <w:rPr>
                <w:b/>
                <w:bCs/>
                <w:sz w:val="20"/>
                <w:lang w:val="en-US"/>
              </w:rPr>
              <w:t>N</w:t>
            </w:r>
            <w:r w:rsidRPr="002F1C64">
              <w:rPr>
                <w:sz w:val="20"/>
                <w:lang w:val="en-US"/>
              </w:rPr>
              <w:t xml:space="preserve">, </w:t>
            </w:r>
            <w:r w:rsidRPr="00E0793D">
              <w:rPr>
                <w:i/>
                <w:sz w:val="20"/>
                <w:lang w:val="en-US"/>
              </w:rPr>
              <w:t>E</w:t>
            </w:r>
            <w:r w:rsidRPr="00E0793D">
              <w:rPr>
                <w:i/>
                <w:sz w:val="20"/>
                <w:vertAlign w:val="subscript"/>
                <w:lang w:val="en-US"/>
              </w:rPr>
              <w:t>0</w:t>
            </w:r>
            <w:r>
              <w:rPr>
                <w:sz w:val="20"/>
                <w:lang w:val="en-US"/>
              </w:rPr>
              <w:t xml:space="preserve"> = 1732.0</w:t>
            </w:r>
            <w:r w:rsidRPr="002F1C64">
              <w:rPr>
                <w:sz w:val="20"/>
                <w:lang w:val="en-US"/>
              </w:rPr>
              <w:t xml:space="preserve"> </w:t>
            </w:r>
            <w:proofErr w:type="spellStart"/>
            <w:r w:rsidRPr="002F1C64">
              <w:rPr>
                <w:sz w:val="20"/>
                <w:lang w:val="en-US"/>
              </w:rPr>
              <w:t>keV</w:t>
            </w:r>
            <w:proofErr w:type="spellEnd"/>
          </w:p>
        </w:tc>
        <w:tc>
          <w:tcPr>
            <w:tcW w:w="1164" w:type="dxa"/>
            <w:shd w:val="clear" w:color="auto" w:fill="CCFFFF"/>
          </w:tcPr>
          <w:p w:rsidR="00870DDD" w:rsidRPr="002F1C64" w:rsidRDefault="00870DDD" w:rsidP="002F1C64">
            <w:pPr>
              <w:jc w:val="center"/>
              <w:rPr>
                <w:sz w:val="20"/>
                <w:lang w:val="en-US"/>
              </w:rPr>
            </w:pPr>
            <w:r w:rsidRPr="002F1C64">
              <w:rPr>
                <w:sz w:val="20"/>
                <w:lang w:val="en-US"/>
              </w:rPr>
              <w:t>343</w:t>
            </w:r>
          </w:p>
        </w:tc>
        <w:tc>
          <w:tcPr>
            <w:tcW w:w="1524" w:type="dxa"/>
            <w:shd w:val="clear" w:color="auto" w:fill="CCFFFF"/>
          </w:tcPr>
          <w:p w:rsidR="00870DDD" w:rsidRPr="002F1C64" w:rsidRDefault="00870DDD" w:rsidP="002F1C64">
            <w:pPr>
              <w:jc w:val="both"/>
              <w:rPr>
                <w:sz w:val="20"/>
                <w:lang w:val="en-US"/>
              </w:rPr>
            </w:pPr>
            <w:r w:rsidRPr="002F1C64">
              <w:rPr>
                <w:sz w:val="20"/>
                <w:lang w:val="en-US"/>
              </w:rPr>
              <w:t>ISOL, In-flight</w:t>
            </w:r>
          </w:p>
        </w:tc>
        <w:tc>
          <w:tcPr>
            <w:tcW w:w="1524" w:type="dxa"/>
            <w:shd w:val="clear" w:color="auto" w:fill="CCFFFF"/>
          </w:tcPr>
          <w:p w:rsidR="00870DDD" w:rsidRPr="002F1C64" w:rsidRDefault="00870DDD" w:rsidP="002F1C64">
            <w:pPr>
              <w:jc w:val="both"/>
              <w:rPr>
                <w:sz w:val="20"/>
                <w:lang w:val="en-US"/>
              </w:rPr>
            </w:pPr>
            <w:r w:rsidRPr="002F1C64">
              <w:rPr>
                <w:sz w:val="20"/>
                <w:lang w:val="en-US"/>
              </w:rPr>
              <w:t>Dose monitoring</w:t>
            </w:r>
          </w:p>
        </w:tc>
      </w:tr>
      <w:tr w:rsidR="00870DDD" w:rsidRPr="00F1289A" w:rsidTr="00484762">
        <w:tc>
          <w:tcPr>
            <w:tcW w:w="535" w:type="dxa"/>
            <w:shd w:val="clear" w:color="auto" w:fill="CCFFFF"/>
          </w:tcPr>
          <w:p w:rsidR="00870DDD" w:rsidRPr="002F1C64" w:rsidRDefault="00870DDD" w:rsidP="002F1C64">
            <w:pPr>
              <w:jc w:val="center"/>
              <w:rPr>
                <w:sz w:val="20"/>
                <w:lang w:val="en-US"/>
              </w:rPr>
            </w:pPr>
            <w:r w:rsidRPr="002F1C64">
              <w:rPr>
                <w:sz w:val="20"/>
                <w:vertAlign w:val="superscript"/>
                <w:lang w:val="en-US"/>
              </w:rPr>
              <w:t>18</w:t>
            </w:r>
            <w:r w:rsidRPr="002F1C64">
              <w:rPr>
                <w:sz w:val="20"/>
                <w:lang w:val="en-US"/>
              </w:rPr>
              <w:t>F</w:t>
            </w:r>
          </w:p>
        </w:tc>
        <w:tc>
          <w:tcPr>
            <w:tcW w:w="1152" w:type="dxa"/>
            <w:shd w:val="clear" w:color="auto" w:fill="CCFFFF"/>
          </w:tcPr>
          <w:p w:rsidR="00870DDD" w:rsidRPr="002F1C64" w:rsidRDefault="00870DDD" w:rsidP="002F1C64">
            <w:pPr>
              <w:jc w:val="center"/>
              <w:rPr>
                <w:sz w:val="20"/>
                <w:lang w:val="en-US"/>
              </w:rPr>
            </w:pPr>
            <w:r w:rsidRPr="002F1C64">
              <w:rPr>
                <w:sz w:val="20"/>
                <w:lang w:val="en-US"/>
              </w:rPr>
              <w:t>109.74 min</w:t>
            </w:r>
          </w:p>
        </w:tc>
        <w:tc>
          <w:tcPr>
            <w:tcW w:w="3240" w:type="dxa"/>
            <w:shd w:val="clear" w:color="auto" w:fill="CCFFFF"/>
          </w:tcPr>
          <w:p w:rsidR="00870DDD" w:rsidRPr="002F1C64" w:rsidRDefault="00870DDD" w:rsidP="002F1C64">
            <w:pPr>
              <w:jc w:val="both"/>
              <w:rPr>
                <w:sz w:val="20"/>
                <w:lang w:val="en-US"/>
              </w:rPr>
            </w:pPr>
            <w:r w:rsidRPr="002F1C64">
              <w:rPr>
                <w:rFonts w:ascii="Symbol" w:hAnsi="Symbol"/>
                <w:sz w:val="20"/>
                <w:lang w:val="en-US"/>
              </w:rPr>
              <w:t></w:t>
            </w:r>
            <w:r w:rsidRPr="002F1C64">
              <w:rPr>
                <w:sz w:val="20"/>
                <w:vertAlign w:val="superscript"/>
                <w:lang w:val="en-US"/>
              </w:rPr>
              <w:t>+</w:t>
            </w:r>
            <w:r w:rsidRPr="002F1C64">
              <w:rPr>
                <w:sz w:val="20"/>
                <w:lang w:val="en-US"/>
              </w:rPr>
              <w:t xml:space="preserve">, </w:t>
            </w:r>
            <w:r w:rsidRPr="002F1C64">
              <w:rPr>
                <w:b/>
                <w:bCs/>
                <w:sz w:val="20"/>
                <w:vertAlign w:val="superscript"/>
                <w:lang w:val="en-US"/>
              </w:rPr>
              <w:t>18</w:t>
            </w:r>
            <w:r w:rsidRPr="002F1C64">
              <w:rPr>
                <w:b/>
                <w:bCs/>
                <w:sz w:val="20"/>
                <w:lang w:val="en-US"/>
              </w:rPr>
              <w:t>O</w:t>
            </w:r>
            <w:r w:rsidRPr="002F1C64">
              <w:rPr>
                <w:sz w:val="20"/>
                <w:lang w:val="en-US"/>
              </w:rPr>
              <w:t>/96.9%</w:t>
            </w:r>
            <w:r w:rsidR="00E0793D">
              <w:rPr>
                <w:sz w:val="20"/>
                <w:lang w:val="en-US"/>
              </w:rPr>
              <w:t xml:space="preserve"> B.R.</w:t>
            </w:r>
            <w:r w:rsidRPr="002F1C64">
              <w:rPr>
                <w:sz w:val="20"/>
                <w:lang w:val="en-US"/>
              </w:rPr>
              <w:t xml:space="preserve">, </w:t>
            </w:r>
            <w:r w:rsidRPr="00E0793D">
              <w:rPr>
                <w:i/>
                <w:sz w:val="20"/>
                <w:lang w:val="en-US"/>
              </w:rPr>
              <w:t>E</w:t>
            </w:r>
            <w:r w:rsidRPr="00E0793D">
              <w:rPr>
                <w:i/>
                <w:sz w:val="20"/>
                <w:vertAlign w:val="subscript"/>
                <w:lang w:val="en-US"/>
              </w:rPr>
              <w:t>0</w:t>
            </w:r>
            <w:r>
              <w:rPr>
                <w:sz w:val="20"/>
                <w:lang w:val="en-US"/>
              </w:rPr>
              <w:t xml:space="preserve"> = </w:t>
            </w:r>
            <w:r w:rsidRPr="002F1C64">
              <w:rPr>
                <w:sz w:val="20"/>
                <w:lang w:val="en-US"/>
              </w:rPr>
              <w:t>63</w:t>
            </w:r>
            <w:r w:rsidR="00484762">
              <w:rPr>
                <w:sz w:val="20"/>
                <w:lang w:val="en-US"/>
              </w:rPr>
              <w:t>3.9</w:t>
            </w:r>
            <w:r w:rsidRPr="002F1C64">
              <w:rPr>
                <w:sz w:val="20"/>
                <w:lang w:val="en-US"/>
              </w:rPr>
              <w:t xml:space="preserve"> </w:t>
            </w:r>
            <w:proofErr w:type="spellStart"/>
            <w:r w:rsidRPr="002F1C64">
              <w:rPr>
                <w:sz w:val="20"/>
                <w:lang w:val="en-US"/>
              </w:rPr>
              <w:t>keV</w:t>
            </w:r>
            <w:proofErr w:type="spellEnd"/>
          </w:p>
          <w:p w:rsidR="00870DDD" w:rsidRPr="00E0793D" w:rsidRDefault="00870DDD" w:rsidP="002F1C64">
            <w:pPr>
              <w:jc w:val="both"/>
              <w:rPr>
                <w:b/>
                <w:sz w:val="20"/>
                <w:lang w:val="en-US"/>
              </w:rPr>
            </w:pPr>
            <w:r w:rsidRPr="002F1C64">
              <w:rPr>
                <w:sz w:val="20"/>
                <w:lang w:val="en-US"/>
              </w:rPr>
              <w:t>E.C. /3.1%</w:t>
            </w:r>
            <w:r w:rsidR="00E0793D">
              <w:rPr>
                <w:sz w:val="20"/>
                <w:lang w:val="en-US"/>
              </w:rPr>
              <w:t xml:space="preserve"> B.R.</w:t>
            </w:r>
          </w:p>
        </w:tc>
        <w:tc>
          <w:tcPr>
            <w:tcW w:w="1164" w:type="dxa"/>
            <w:shd w:val="clear" w:color="auto" w:fill="CCFFFF"/>
          </w:tcPr>
          <w:p w:rsidR="00870DDD" w:rsidRPr="002F1C64" w:rsidRDefault="00870DDD" w:rsidP="002F1C64">
            <w:pPr>
              <w:jc w:val="center"/>
              <w:rPr>
                <w:sz w:val="20"/>
                <w:lang w:val="en-US"/>
              </w:rPr>
            </w:pPr>
            <w:r w:rsidRPr="002F1C64">
              <w:rPr>
                <w:sz w:val="20"/>
                <w:lang w:val="en-US"/>
              </w:rPr>
              <w:t>354</w:t>
            </w:r>
          </w:p>
        </w:tc>
        <w:tc>
          <w:tcPr>
            <w:tcW w:w="1524" w:type="dxa"/>
            <w:shd w:val="clear" w:color="auto" w:fill="CCFFFF"/>
          </w:tcPr>
          <w:p w:rsidR="00870DDD" w:rsidRPr="002F1C64" w:rsidRDefault="00870DDD" w:rsidP="002F1C64">
            <w:pPr>
              <w:jc w:val="both"/>
              <w:rPr>
                <w:sz w:val="20"/>
                <w:lang w:val="bg-BG"/>
              </w:rPr>
            </w:pPr>
            <w:r w:rsidRPr="002F1C64">
              <w:rPr>
                <w:sz w:val="20"/>
                <w:lang w:val="en-US"/>
              </w:rPr>
              <w:t>ISOL, In-flight</w:t>
            </w:r>
          </w:p>
        </w:tc>
        <w:tc>
          <w:tcPr>
            <w:tcW w:w="1524" w:type="dxa"/>
            <w:shd w:val="clear" w:color="auto" w:fill="CCFFFF"/>
          </w:tcPr>
          <w:p w:rsidR="00870DDD" w:rsidRPr="002F1C64" w:rsidRDefault="00870DDD" w:rsidP="002F1C64">
            <w:pPr>
              <w:jc w:val="both"/>
              <w:rPr>
                <w:sz w:val="20"/>
                <w:lang w:val="en-US"/>
              </w:rPr>
            </w:pPr>
            <w:r w:rsidRPr="002F1C64">
              <w:rPr>
                <w:sz w:val="20"/>
                <w:lang w:val="en-US"/>
              </w:rPr>
              <w:t>Dose monitoring</w:t>
            </w:r>
          </w:p>
        </w:tc>
      </w:tr>
    </w:tbl>
    <w:p w:rsidR="00870DDD" w:rsidRDefault="00870DDD" w:rsidP="006E011E">
      <w:pPr>
        <w:jc w:val="both"/>
        <w:rPr>
          <w:i/>
          <w:sz w:val="20"/>
          <w:lang w:val="en-US"/>
        </w:rPr>
      </w:pPr>
      <w:r w:rsidRPr="00DD7C6C">
        <w:rPr>
          <w:i/>
          <w:sz w:val="20"/>
          <w:lang w:val="en-US"/>
        </w:rPr>
        <w:t xml:space="preserve">Light short-lived isotopes </w:t>
      </w:r>
      <w:r>
        <w:rPr>
          <w:i/>
          <w:sz w:val="20"/>
          <w:lang w:val="en-US"/>
        </w:rPr>
        <w:t xml:space="preserve">suitable </w:t>
      </w:r>
      <w:r w:rsidRPr="00DD7C6C">
        <w:rPr>
          <w:i/>
          <w:sz w:val="20"/>
          <w:lang w:val="en-US"/>
        </w:rPr>
        <w:t xml:space="preserve">for future RIB </w:t>
      </w:r>
      <w:r>
        <w:rPr>
          <w:i/>
          <w:sz w:val="20"/>
          <w:lang w:val="en-US"/>
        </w:rPr>
        <w:t>radiotherapy</w:t>
      </w:r>
      <w:r w:rsidRPr="00DD7C6C">
        <w:rPr>
          <w:i/>
          <w:sz w:val="20"/>
          <w:lang w:val="en-US"/>
        </w:rPr>
        <w:t>.</w:t>
      </w:r>
      <w:r>
        <w:rPr>
          <w:i/>
          <w:sz w:val="20"/>
          <w:lang w:val="en-US"/>
        </w:rPr>
        <w:t xml:space="preserve"> Beam energy necessary for 15 cm range in water. </w:t>
      </w:r>
    </w:p>
    <w:p w:rsidR="007F2585" w:rsidRDefault="007F2585" w:rsidP="006E011E">
      <w:pPr>
        <w:jc w:val="both"/>
        <w:rPr>
          <w:i/>
          <w:sz w:val="20"/>
          <w:lang w:val="en-US"/>
        </w:rPr>
      </w:pPr>
    </w:p>
    <w:p w:rsidR="00906D8C" w:rsidRDefault="00C40395" w:rsidP="00906D8C">
      <w:pPr>
        <w:ind w:firstLine="705"/>
        <w:jc w:val="both"/>
        <w:rPr>
          <w:lang w:val="en-US"/>
        </w:rPr>
      </w:pPr>
      <w:r>
        <w:rPr>
          <w:noProof/>
          <w:lang w:val="en-US"/>
        </w:rPr>
        <w:drawing>
          <wp:anchor distT="0" distB="0" distL="114300" distR="114300" simplePos="0" relativeHeight="251659776" behindDoc="0" locked="0" layoutInCell="1" allowOverlap="1">
            <wp:simplePos x="0" y="0"/>
            <wp:positionH relativeFrom="margin">
              <wp:align>center</wp:align>
            </wp:positionH>
            <wp:positionV relativeFrom="paragraph">
              <wp:posOffset>1164590</wp:posOffset>
            </wp:positionV>
            <wp:extent cx="3968115" cy="1266190"/>
            <wp:effectExtent l="0" t="0" r="0" b="0"/>
            <wp:wrapTopAndBottom/>
            <wp:docPr id="5"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68115" cy="1266190"/>
                    </a:xfrm>
                    <a:prstGeom prst="rect">
                      <a:avLst/>
                    </a:prstGeom>
                    <a:noFill/>
                  </pic:spPr>
                </pic:pic>
              </a:graphicData>
            </a:graphic>
            <wp14:sizeRelH relativeFrom="page">
              <wp14:pctWidth>0</wp14:pctWidth>
            </wp14:sizeRelH>
            <wp14:sizeRelV relativeFrom="page">
              <wp14:pctHeight>0</wp14:pctHeight>
            </wp14:sizeRelV>
          </wp:anchor>
        </w:drawing>
      </w:r>
      <w:r w:rsidR="00870DDD">
        <w:rPr>
          <w:lang w:val="en-US"/>
        </w:rPr>
        <w:t xml:space="preserve">Energetic RIB for irradiation can be created either by </w:t>
      </w:r>
      <w:r w:rsidR="00870DDD" w:rsidRPr="000E1082">
        <w:rPr>
          <w:i/>
          <w:lang w:val="en-US"/>
        </w:rPr>
        <w:t>ISOL</w:t>
      </w:r>
      <w:r w:rsidR="00870DDD">
        <w:rPr>
          <w:lang w:val="en-US"/>
        </w:rPr>
        <w:t xml:space="preserve"> or by </w:t>
      </w:r>
      <w:r w:rsidR="00870DDD" w:rsidRPr="000E1082">
        <w:rPr>
          <w:i/>
          <w:lang w:val="en-US"/>
        </w:rPr>
        <w:t>in-flight</w:t>
      </w:r>
      <w:r w:rsidR="00870DDD">
        <w:rPr>
          <w:lang w:val="en-US"/>
        </w:rPr>
        <w:t xml:space="preserve"> production methods</w:t>
      </w:r>
      <w:r w:rsidR="009109E0">
        <w:rPr>
          <w:lang w:val="en-US"/>
        </w:rPr>
        <w:t xml:space="preserve"> </w:t>
      </w:r>
      <w:r w:rsidR="009109E0" w:rsidRPr="009109E0">
        <w:rPr>
          <w:lang w:val="en-US"/>
        </w:rPr>
        <w:t>[Blu14]</w:t>
      </w:r>
      <w:r w:rsidR="00870DDD">
        <w:rPr>
          <w:lang w:val="en-US"/>
        </w:rPr>
        <w:t xml:space="preserve">. The advantages and disadvantages are well known for both methods; the former is better suited for reaching higher production rates but is highly element dependent and slower compared to </w:t>
      </w:r>
      <w:r w:rsidR="00870DDD" w:rsidRPr="000E1082">
        <w:rPr>
          <w:i/>
          <w:lang w:val="en-US"/>
        </w:rPr>
        <w:t>in-flight</w:t>
      </w:r>
      <w:r w:rsidR="00870DDD">
        <w:rPr>
          <w:lang w:val="en-US"/>
        </w:rPr>
        <w:t xml:space="preserve"> production making it less effective for short-lived isotopes. Among the mentioned </w:t>
      </w:r>
      <w:r w:rsidR="00F1597C">
        <w:rPr>
          <w:lang w:val="en-US"/>
        </w:rPr>
        <w:t>isotopes,</w:t>
      </w:r>
      <w:r w:rsidR="00870DDD">
        <w:rPr>
          <w:lang w:val="en-US"/>
        </w:rPr>
        <w:t xml:space="preserve"> the </w:t>
      </w:r>
      <w:r w:rsidR="00870DDD" w:rsidRPr="000E1082">
        <w:rPr>
          <w:i/>
          <w:lang w:val="en-US"/>
        </w:rPr>
        <w:t>ISOL</w:t>
      </w:r>
      <w:r w:rsidR="00870DDD">
        <w:rPr>
          <w:lang w:val="en-US"/>
        </w:rPr>
        <w:t xml:space="preserve"> technique would be </w:t>
      </w:r>
      <w:r w:rsidR="00F1597C">
        <w:rPr>
          <w:lang w:val="en-US"/>
        </w:rPr>
        <w:t>optimal</w:t>
      </w:r>
      <w:r w:rsidR="00870DDD">
        <w:rPr>
          <w:lang w:val="en-US"/>
        </w:rPr>
        <w:t xml:space="preserve"> for the production of </w:t>
      </w:r>
      <w:r w:rsidR="00870DDD" w:rsidRPr="000B1FED">
        <w:rPr>
          <w:vertAlign w:val="superscript"/>
          <w:lang w:val="en-US"/>
        </w:rPr>
        <w:t>8</w:t>
      </w:r>
      <w:r w:rsidR="00870DDD">
        <w:rPr>
          <w:lang w:val="en-US"/>
        </w:rPr>
        <w:t xml:space="preserve">Li and </w:t>
      </w:r>
      <w:r w:rsidR="00870DDD">
        <w:rPr>
          <w:vertAlign w:val="superscript"/>
          <w:lang w:val="en-US"/>
        </w:rPr>
        <w:t>9</w:t>
      </w:r>
      <w:r w:rsidR="00870DDD">
        <w:rPr>
          <w:lang w:val="en-US"/>
        </w:rPr>
        <w:t>Li, whereas the in-flight technique</w:t>
      </w:r>
      <w:r w:rsidR="00F1597C">
        <w:rPr>
          <w:lang w:val="en-US"/>
        </w:rPr>
        <w:t xml:space="preserve"> may be more suited</w:t>
      </w:r>
      <w:r w:rsidR="00870DDD">
        <w:rPr>
          <w:lang w:val="en-US"/>
        </w:rPr>
        <w:t xml:space="preserve"> for </w:t>
      </w:r>
      <w:r w:rsidR="00870DDD" w:rsidRPr="00DB3D51">
        <w:rPr>
          <w:vertAlign w:val="superscript"/>
          <w:lang w:val="en-US"/>
        </w:rPr>
        <w:t>9</w:t>
      </w:r>
      <w:r w:rsidR="00870DDD" w:rsidRPr="00DB3D51">
        <w:rPr>
          <w:lang w:val="en-US"/>
        </w:rPr>
        <w:t>C</w:t>
      </w:r>
      <w:r w:rsidR="00870DDD">
        <w:rPr>
          <w:lang w:val="en-US"/>
        </w:rPr>
        <w:t xml:space="preserve">. </w:t>
      </w:r>
    </w:p>
    <w:p w:rsidR="00C40395" w:rsidRDefault="00C40395" w:rsidP="00C40395">
      <w:pPr>
        <w:jc w:val="both"/>
        <w:rPr>
          <w:i/>
          <w:sz w:val="20"/>
          <w:lang w:val="en-US"/>
        </w:rPr>
      </w:pPr>
      <w:r>
        <w:rPr>
          <w:i/>
          <w:sz w:val="20"/>
          <w:lang w:val="en-US"/>
        </w:rPr>
        <w:t xml:space="preserve">Schematic description of the ISOL and In-flight RIB production schemes. </w:t>
      </w:r>
    </w:p>
    <w:p w:rsidR="00456CC3" w:rsidRDefault="00870DDD" w:rsidP="00456CC3">
      <w:pPr>
        <w:ind w:firstLine="705"/>
        <w:jc w:val="both"/>
        <w:rPr>
          <w:lang w:val="en-US"/>
        </w:rPr>
      </w:pPr>
      <w:r>
        <w:rPr>
          <w:lang w:val="en-US"/>
        </w:rPr>
        <w:t xml:space="preserve">Existing </w:t>
      </w:r>
      <w:r w:rsidR="00C40395">
        <w:rPr>
          <w:lang w:val="en-US"/>
        </w:rPr>
        <w:t xml:space="preserve">carbon treatment centers, </w:t>
      </w:r>
      <w:r w:rsidR="00C40395">
        <w:rPr>
          <w:lang w:val="en-US"/>
        </w:rPr>
        <w:t xml:space="preserve">such as HIT, MIT, CNAO, </w:t>
      </w:r>
      <w:proofErr w:type="spellStart"/>
      <w:r w:rsidR="00C40395" w:rsidRPr="004D2282">
        <w:rPr>
          <w:lang w:val="en-US"/>
        </w:rPr>
        <w:t>MedA</w:t>
      </w:r>
      <w:r w:rsidR="00C40395">
        <w:rPr>
          <w:lang w:val="en-US"/>
        </w:rPr>
        <w:t>ustron</w:t>
      </w:r>
      <w:proofErr w:type="spellEnd"/>
      <w:r w:rsidR="00C40395">
        <w:rPr>
          <w:lang w:val="en-US"/>
        </w:rPr>
        <w:t xml:space="preserve">, </w:t>
      </w:r>
      <w:r w:rsidR="007F2585">
        <w:rPr>
          <w:lang w:val="en-US"/>
        </w:rPr>
        <w:t>could be easily upgraded</w:t>
      </w:r>
      <w:r>
        <w:rPr>
          <w:lang w:val="en-US"/>
        </w:rPr>
        <w:t xml:space="preserve"> </w:t>
      </w:r>
      <w:r w:rsidR="00372CA9">
        <w:rPr>
          <w:lang w:val="en-US"/>
        </w:rPr>
        <w:t xml:space="preserve">for RIB </w:t>
      </w:r>
      <w:r>
        <w:rPr>
          <w:lang w:val="en-US"/>
        </w:rPr>
        <w:t xml:space="preserve">by adding an </w:t>
      </w:r>
      <w:r w:rsidRPr="000E1082">
        <w:rPr>
          <w:i/>
          <w:lang w:val="en-US"/>
        </w:rPr>
        <w:t>ISOL</w:t>
      </w:r>
      <w:r>
        <w:rPr>
          <w:lang w:val="en-US"/>
        </w:rPr>
        <w:t xml:space="preserve"> production at the ion source/injection side. </w:t>
      </w:r>
      <w:r w:rsidRPr="000E1082">
        <w:rPr>
          <w:i/>
          <w:lang w:val="en-US"/>
        </w:rPr>
        <w:t>In-flight</w:t>
      </w:r>
      <w:r w:rsidR="00372CA9">
        <w:rPr>
          <w:lang w:val="en-US"/>
        </w:rPr>
        <w:t xml:space="preserve"> production and separation requires acceleration of </w:t>
      </w:r>
      <w:r>
        <w:rPr>
          <w:lang w:val="en-US"/>
        </w:rPr>
        <w:t xml:space="preserve">the primary beam to energies similar to the desired </w:t>
      </w:r>
      <w:r w:rsidR="00C40395">
        <w:rPr>
          <w:lang w:val="en-US"/>
        </w:rPr>
        <w:t>RIB energies</w:t>
      </w:r>
      <w:r>
        <w:rPr>
          <w:lang w:val="en-US"/>
        </w:rPr>
        <w:t>.</w:t>
      </w:r>
      <w:r w:rsidR="007F2585">
        <w:rPr>
          <w:lang w:val="en-US"/>
        </w:rPr>
        <w:t xml:space="preserve"> </w:t>
      </w:r>
      <w:r w:rsidR="00372CA9">
        <w:rPr>
          <w:lang w:val="en-US"/>
        </w:rPr>
        <w:t>After production, desired RIB</w:t>
      </w:r>
      <w:r w:rsidR="007F2585">
        <w:rPr>
          <w:lang w:val="en-US"/>
        </w:rPr>
        <w:t xml:space="preserve"> need to be s</w:t>
      </w:r>
      <w:r w:rsidR="00372CA9">
        <w:rPr>
          <w:lang w:val="en-US"/>
        </w:rPr>
        <w:t>eparated</w:t>
      </w:r>
      <w:r w:rsidR="007F2585">
        <w:rPr>
          <w:lang w:val="en-US"/>
        </w:rPr>
        <w:t xml:space="preserve"> </w:t>
      </w:r>
      <w:r w:rsidR="00372CA9">
        <w:rPr>
          <w:lang w:val="en-US"/>
        </w:rPr>
        <w:t>from the primary beam and the other products. RIB may require collimation</w:t>
      </w:r>
      <w:r w:rsidR="007F2585">
        <w:rPr>
          <w:lang w:val="en-US"/>
        </w:rPr>
        <w:t xml:space="preserve"> for achieving high-quality </w:t>
      </w:r>
      <w:r w:rsidR="00372CA9">
        <w:rPr>
          <w:lang w:val="en-US"/>
        </w:rPr>
        <w:t>beams</w:t>
      </w:r>
      <w:r w:rsidR="007F2585">
        <w:rPr>
          <w:lang w:val="en-US"/>
        </w:rPr>
        <w:t>.</w:t>
      </w:r>
    </w:p>
    <w:p w:rsidR="00840A48" w:rsidRDefault="00840A48" w:rsidP="00840A48">
      <w:pPr>
        <w:pStyle w:val="ListParagraph"/>
        <w:ind w:left="0"/>
        <w:jc w:val="both"/>
        <w:rPr>
          <w:i/>
          <w:sz w:val="20"/>
          <w:lang w:val="en-US"/>
        </w:rPr>
      </w:pPr>
      <w:r w:rsidRPr="00840A48">
        <w:rPr>
          <w:i/>
          <w:sz w:val="20"/>
          <w:lang w:val="en-US"/>
        </w:rPr>
        <w:lastRenderedPageBreak/>
        <w:t>References</w:t>
      </w:r>
    </w:p>
    <w:p w:rsidR="00840A48" w:rsidRPr="00FE5315" w:rsidRDefault="00840A48" w:rsidP="00840A48">
      <w:pPr>
        <w:pStyle w:val="ListParagraph"/>
        <w:ind w:left="0"/>
        <w:jc w:val="both"/>
        <w:rPr>
          <w:sz w:val="18"/>
          <w:lang w:val="en-US"/>
        </w:rPr>
      </w:pPr>
    </w:p>
    <w:p w:rsidR="00FE5315" w:rsidRPr="00FE5315" w:rsidRDefault="00FE5315" w:rsidP="00840A48">
      <w:pPr>
        <w:pStyle w:val="ListParagraph"/>
        <w:ind w:left="0"/>
        <w:jc w:val="both"/>
        <w:rPr>
          <w:sz w:val="18"/>
          <w:lang w:val="en-US"/>
        </w:rPr>
      </w:pPr>
      <w:r>
        <w:rPr>
          <w:sz w:val="18"/>
          <w:lang w:val="en-US"/>
        </w:rPr>
        <w:t>[Nup14]</w:t>
      </w:r>
      <w:r w:rsidRPr="00FE5315">
        <w:rPr>
          <w:sz w:val="18"/>
          <w:lang w:val="en-US"/>
        </w:rPr>
        <w:tab/>
      </w:r>
      <w:r w:rsidRPr="00FE5315">
        <w:rPr>
          <w:sz w:val="18"/>
          <w:lang w:val="en-US"/>
        </w:rPr>
        <w:tab/>
      </w:r>
      <w:proofErr w:type="spellStart"/>
      <w:r w:rsidRPr="00FE5315">
        <w:rPr>
          <w:sz w:val="18"/>
          <w:lang w:val="en-US"/>
        </w:rPr>
        <w:t>NuPECC</w:t>
      </w:r>
      <w:proofErr w:type="spellEnd"/>
      <w:r w:rsidRPr="00FE5315">
        <w:rPr>
          <w:sz w:val="18"/>
          <w:lang w:val="en-US"/>
        </w:rPr>
        <w:t xml:space="preserve"> </w:t>
      </w:r>
      <w:r>
        <w:rPr>
          <w:sz w:val="18"/>
          <w:lang w:val="en-US"/>
        </w:rPr>
        <w:t>report</w:t>
      </w:r>
      <w:r w:rsidRPr="00FE5315">
        <w:rPr>
          <w:sz w:val="18"/>
          <w:lang w:val="en-US"/>
        </w:rPr>
        <w:t xml:space="preserve"> "Nuclear Physics for Medicine"</w:t>
      </w:r>
      <w:r>
        <w:rPr>
          <w:sz w:val="18"/>
          <w:lang w:val="en-US"/>
        </w:rPr>
        <w:t xml:space="preserve"> (2014)</w:t>
      </w:r>
    </w:p>
    <w:p w:rsidR="00840A48" w:rsidRPr="00840A48" w:rsidRDefault="00840A48" w:rsidP="00840A48">
      <w:pPr>
        <w:ind w:left="1410" w:hanging="1410"/>
        <w:jc w:val="both"/>
        <w:rPr>
          <w:sz w:val="18"/>
          <w:lang w:val="en-US"/>
        </w:rPr>
      </w:pPr>
      <w:r w:rsidRPr="00840A48">
        <w:rPr>
          <w:sz w:val="18"/>
          <w:lang w:val="en-US"/>
        </w:rPr>
        <w:t>[Dur17]</w:t>
      </w:r>
      <w:r w:rsidRPr="00840A48">
        <w:rPr>
          <w:sz w:val="18"/>
          <w:lang w:val="en-US"/>
        </w:rPr>
        <w:tab/>
      </w:r>
      <w:r w:rsidRPr="00840A48">
        <w:rPr>
          <w:sz w:val="18"/>
          <w:lang w:val="en-US"/>
        </w:rPr>
        <w:tab/>
      </w:r>
      <w:r w:rsidRPr="00840A48">
        <w:rPr>
          <w:sz w:val="18"/>
          <w:lang w:val="en-US"/>
        </w:rPr>
        <w:t>Charged-particle therapy in cancer: clinical uses and future perspectives</w:t>
      </w:r>
      <w:r w:rsidRPr="00840A48">
        <w:rPr>
          <w:sz w:val="18"/>
          <w:lang w:val="en-US"/>
        </w:rPr>
        <w:t xml:space="preserve">, </w:t>
      </w:r>
      <w:r>
        <w:rPr>
          <w:sz w:val="18"/>
          <w:lang w:val="en-US"/>
        </w:rPr>
        <w:t xml:space="preserve">M. </w:t>
      </w:r>
      <w:r w:rsidRPr="00840A48">
        <w:rPr>
          <w:sz w:val="18"/>
          <w:lang w:val="en-US"/>
        </w:rPr>
        <w:t>Durante, R</w:t>
      </w:r>
      <w:r>
        <w:rPr>
          <w:sz w:val="18"/>
          <w:lang w:val="en-US"/>
        </w:rPr>
        <w:t xml:space="preserve">. </w:t>
      </w:r>
      <w:proofErr w:type="spellStart"/>
      <w:r>
        <w:rPr>
          <w:sz w:val="18"/>
          <w:lang w:val="en-US"/>
        </w:rPr>
        <w:t>Orecchia</w:t>
      </w:r>
      <w:proofErr w:type="spellEnd"/>
      <w:r>
        <w:rPr>
          <w:sz w:val="18"/>
          <w:lang w:val="en-US"/>
        </w:rPr>
        <w:t xml:space="preserve"> &amp; J.</w:t>
      </w:r>
      <w:r w:rsidRPr="00840A48">
        <w:rPr>
          <w:sz w:val="18"/>
          <w:lang w:val="en-US"/>
        </w:rPr>
        <w:t xml:space="preserve"> S. </w:t>
      </w:r>
      <w:proofErr w:type="spellStart"/>
      <w:r w:rsidRPr="00840A48">
        <w:rPr>
          <w:sz w:val="18"/>
          <w:lang w:val="en-US"/>
        </w:rPr>
        <w:t>Loeffler</w:t>
      </w:r>
      <w:proofErr w:type="spellEnd"/>
      <w:r>
        <w:rPr>
          <w:sz w:val="18"/>
          <w:lang w:val="en-US"/>
        </w:rPr>
        <w:t xml:space="preserve">, </w:t>
      </w:r>
      <w:r w:rsidRPr="00840A48">
        <w:rPr>
          <w:sz w:val="18"/>
          <w:lang w:val="en-US"/>
        </w:rPr>
        <w:t>Na</w:t>
      </w:r>
      <w:r>
        <w:rPr>
          <w:sz w:val="18"/>
          <w:lang w:val="en-US"/>
        </w:rPr>
        <w:t xml:space="preserve">ture Reviews Clinical Oncology Vol. 14 </w:t>
      </w:r>
      <w:r w:rsidRPr="00840A48">
        <w:rPr>
          <w:sz w:val="18"/>
          <w:lang w:val="en-US"/>
        </w:rPr>
        <w:t>(2017)</w:t>
      </w:r>
      <w:r>
        <w:rPr>
          <w:sz w:val="18"/>
          <w:lang w:val="en-US"/>
        </w:rPr>
        <w:t xml:space="preserve"> </w:t>
      </w:r>
      <w:r w:rsidRPr="00840A48">
        <w:rPr>
          <w:sz w:val="18"/>
          <w:lang w:val="en-US"/>
        </w:rPr>
        <w:t>483</w:t>
      </w:r>
      <w:r>
        <w:rPr>
          <w:sz w:val="18"/>
          <w:lang w:val="en-US"/>
        </w:rPr>
        <w:t>-</w:t>
      </w:r>
      <w:r w:rsidRPr="00840A48">
        <w:rPr>
          <w:sz w:val="18"/>
          <w:lang w:val="en-US"/>
        </w:rPr>
        <w:t xml:space="preserve">495 </w:t>
      </w:r>
    </w:p>
    <w:p w:rsidR="00840A48" w:rsidRPr="00840A48" w:rsidRDefault="00840A48" w:rsidP="00840A48">
      <w:pPr>
        <w:ind w:left="1410" w:hanging="1410"/>
        <w:jc w:val="both"/>
        <w:rPr>
          <w:sz w:val="18"/>
          <w:szCs w:val="18"/>
          <w:lang w:val="en-US"/>
        </w:rPr>
      </w:pPr>
      <w:r w:rsidRPr="00840A48">
        <w:rPr>
          <w:sz w:val="18"/>
          <w:szCs w:val="18"/>
          <w:lang w:val="en-US"/>
        </w:rPr>
        <w:t>[Uhl14]</w:t>
      </w:r>
      <w:r w:rsidRPr="00840A48">
        <w:rPr>
          <w:sz w:val="18"/>
          <w:szCs w:val="18"/>
          <w:lang w:val="en-US"/>
        </w:rPr>
        <w:tab/>
        <w:t xml:space="preserve">Comparing the Use of Protons and Carbon Ions for Treatment, M. </w:t>
      </w:r>
      <w:proofErr w:type="spellStart"/>
      <w:r w:rsidRPr="00840A48">
        <w:rPr>
          <w:sz w:val="18"/>
          <w:szCs w:val="18"/>
          <w:lang w:val="en-US"/>
        </w:rPr>
        <w:t>Uhl</w:t>
      </w:r>
      <w:proofErr w:type="spellEnd"/>
      <w:r w:rsidRPr="00840A48">
        <w:rPr>
          <w:sz w:val="18"/>
          <w:szCs w:val="18"/>
          <w:lang w:val="en-US"/>
        </w:rPr>
        <w:t xml:space="preserve">, K. </w:t>
      </w:r>
      <w:proofErr w:type="spellStart"/>
      <w:r w:rsidRPr="00840A48">
        <w:rPr>
          <w:sz w:val="18"/>
          <w:szCs w:val="18"/>
          <w:lang w:val="en-US"/>
        </w:rPr>
        <w:t>Herfarth</w:t>
      </w:r>
      <w:proofErr w:type="spellEnd"/>
      <w:r w:rsidRPr="00840A48">
        <w:rPr>
          <w:sz w:val="18"/>
          <w:szCs w:val="18"/>
          <w:lang w:val="en-US"/>
        </w:rPr>
        <w:t>, and J. Debus</w:t>
      </w:r>
      <w:r w:rsidR="009C0072">
        <w:rPr>
          <w:sz w:val="18"/>
          <w:szCs w:val="18"/>
          <w:lang w:val="en-US"/>
        </w:rPr>
        <w:t>,</w:t>
      </w:r>
    </w:p>
    <w:p w:rsidR="00840A48" w:rsidRPr="00840A48" w:rsidRDefault="00840A48" w:rsidP="00840A48">
      <w:pPr>
        <w:ind w:left="1410"/>
        <w:jc w:val="both"/>
        <w:rPr>
          <w:sz w:val="18"/>
          <w:szCs w:val="18"/>
          <w:lang w:val="en-US"/>
        </w:rPr>
      </w:pPr>
      <w:r w:rsidRPr="00840A48">
        <w:rPr>
          <w:sz w:val="18"/>
          <w:szCs w:val="18"/>
          <w:lang w:val="en-US"/>
        </w:rPr>
        <w:t>The Cancer Journal. 20(6)</w:t>
      </w:r>
      <w:r w:rsidR="00323B42">
        <w:rPr>
          <w:sz w:val="18"/>
          <w:szCs w:val="18"/>
          <w:lang w:val="en-US"/>
        </w:rPr>
        <w:t>,</w:t>
      </w:r>
      <w:r w:rsidRPr="00840A48">
        <w:rPr>
          <w:sz w:val="18"/>
          <w:szCs w:val="18"/>
          <w:lang w:val="en-US"/>
        </w:rPr>
        <w:t xml:space="preserve"> (2014) 433-439</w:t>
      </w:r>
    </w:p>
    <w:p w:rsidR="00840A48" w:rsidRPr="00840A48" w:rsidRDefault="00840A48" w:rsidP="00840A48">
      <w:pPr>
        <w:ind w:left="1410" w:hanging="1410"/>
        <w:jc w:val="both"/>
        <w:rPr>
          <w:sz w:val="18"/>
          <w:szCs w:val="18"/>
          <w:lang w:val="en-US"/>
        </w:rPr>
      </w:pPr>
      <w:r w:rsidRPr="00840A48">
        <w:rPr>
          <w:sz w:val="18"/>
          <w:szCs w:val="18"/>
          <w:lang w:val="en-US"/>
        </w:rPr>
        <w:t>[Dos18]</w:t>
      </w:r>
      <w:r w:rsidRPr="00840A48">
        <w:rPr>
          <w:sz w:val="18"/>
          <w:szCs w:val="18"/>
          <w:lang w:val="en-US"/>
        </w:rPr>
        <w:tab/>
        <w:t xml:space="preserve">ENLIGHT: European network for Light ion hadron therapy, M. </w:t>
      </w:r>
      <w:proofErr w:type="spellStart"/>
      <w:r w:rsidRPr="00840A48">
        <w:rPr>
          <w:sz w:val="18"/>
          <w:szCs w:val="18"/>
          <w:lang w:val="en-US"/>
        </w:rPr>
        <w:t>Dosanjh</w:t>
      </w:r>
      <w:proofErr w:type="spellEnd"/>
      <w:r w:rsidRPr="00840A48">
        <w:rPr>
          <w:sz w:val="18"/>
          <w:szCs w:val="18"/>
          <w:lang w:val="en-US"/>
        </w:rPr>
        <w:t xml:space="preserve">, U. </w:t>
      </w:r>
      <w:proofErr w:type="spellStart"/>
      <w:r w:rsidRPr="00840A48">
        <w:rPr>
          <w:sz w:val="18"/>
          <w:szCs w:val="18"/>
          <w:lang w:val="en-US"/>
        </w:rPr>
        <w:t>Amaldi</w:t>
      </w:r>
      <w:proofErr w:type="spellEnd"/>
      <w:r w:rsidRPr="00840A48">
        <w:rPr>
          <w:sz w:val="18"/>
          <w:szCs w:val="18"/>
          <w:lang w:val="en-US"/>
        </w:rPr>
        <w:t xml:space="preserve">, R. Mayer and R. </w:t>
      </w:r>
      <w:proofErr w:type="spellStart"/>
      <w:r w:rsidRPr="00840A48">
        <w:rPr>
          <w:sz w:val="18"/>
          <w:szCs w:val="18"/>
          <w:lang w:val="en-US"/>
        </w:rPr>
        <w:t>Poetter</w:t>
      </w:r>
      <w:proofErr w:type="spellEnd"/>
      <w:r w:rsidR="009C0072">
        <w:rPr>
          <w:sz w:val="18"/>
          <w:szCs w:val="18"/>
          <w:lang w:val="en-US"/>
        </w:rPr>
        <w:t>,</w:t>
      </w:r>
    </w:p>
    <w:p w:rsidR="00840A48" w:rsidRDefault="00840A48" w:rsidP="00840A48">
      <w:pPr>
        <w:ind w:left="1410"/>
        <w:jc w:val="both"/>
        <w:rPr>
          <w:sz w:val="18"/>
          <w:szCs w:val="18"/>
          <w:lang w:val="en-US"/>
        </w:rPr>
      </w:pPr>
      <w:r w:rsidRPr="00840A48">
        <w:rPr>
          <w:sz w:val="18"/>
          <w:szCs w:val="18"/>
          <w:lang w:val="en-US"/>
        </w:rPr>
        <w:t>Radiotherapy and Oncology, 128(1)</w:t>
      </w:r>
      <w:r w:rsidR="00323B42">
        <w:rPr>
          <w:sz w:val="18"/>
          <w:szCs w:val="18"/>
          <w:lang w:val="en-US"/>
        </w:rPr>
        <w:t>,</w:t>
      </w:r>
      <w:r w:rsidRPr="00840A48">
        <w:rPr>
          <w:sz w:val="18"/>
          <w:szCs w:val="18"/>
          <w:lang w:val="en-US"/>
        </w:rPr>
        <w:t xml:space="preserve"> (2018) 76-82</w:t>
      </w:r>
    </w:p>
    <w:p w:rsidR="009109E0" w:rsidRDefault="009109E0" w:rsidP="009109E0">
      <w:pPr>
        <w:jc w:val="both"/>
        <w:rPr>
          <w:sz w:val="18"/>
          <w:szCs w:val="18"/>
          <w:lang w:val="en-US"/>
        </w:rPr>
      </w:pPr>
      <w:r>
        <w:rPr>
          <w:sz w:val="18"/>
          <w:szCs w:val="18"/>
          <w:lang w:val="en-US"/>
        </w:rPr>
        <w:t>[Bar89]</w:t>
      </w:r>
      <w:r>
        <w:rPr>
          <w:sz w:val="18"/>
          <w:szCs w:val="18"/>
          <w:lang w:val="en-US"/>
        </w:rPr>
        <w:tab/>
      </w:r>
      <w:r>
        <w:rPr>
          <w:sz w:val="18"/>
          <w:szCs w:val="18"/>
          <w:lang w:val="en-US"/>
        </w:rPr>
        <w:tab/>
      </w:r>
      <w:r w:rsidRPr="009109E0">
        <w:rPr>
          <w:sz w:val="18"/>
          <w:szCs w:val="18"/>
          <w:lang w:val="en-US"/>
        </w:rPr>
        <w:t>Delayed alpha spectra from the beta decay of 8Li and 8B</w:t>
      </w:r>
      <w:r w:rsidR="003621C7">
        <w:rPr>
          <w:sz w:val="18"/>
          <w:szCs w:val="18"/>
          <w:lang w:val="en-US"/>
        </w:rPr>
        <w:t xml:space="preserve">, F. C. </w:t>
      </w:r>
      <w:r w:rsidR="003621C7" w:rsidRPr="003621C7">
        <w:rPr>
          <w:sz w:val="18"/>
          <w:szCs w:val="18"/>
          <w:lang w:val="en-US"/>
        </w:rPr>
        <w:t xml:space="preserve">Barker, </w:t>
      </w:r>
    </w:p>
    <w:p w:rsidR="003621C7" w:rsidRDefault="003621C7" w:rsidP="009109E0">
      <w:pPr>
        <w:jc w:val="both"/>
        <w:rPr>
          <w:sz w:val="18"/>
          <w:szCs w:val="18"/>
          <w:lang w:val="en-US"/>
        </w:rPr>
      </w:pPr>
      <w:r>
        <w:rPr>
          <w:sz w:val="18"/>
          <w:szCs w:val="18"/>
          <w:lang w:val="en-US"/>
        </w:rPr>
        <w:tab/>
      </w:r>
      <w:r>
        <w:rPr>
          <w:sz w:val="18"/>
          <w:szCs w:val="18"/>
          <w:lang w:val="en-US"/>
        </w:rPr>
        <w:tab/>
      </w:r>
      <w:r w:rsidRPr="003621C7">
        <w:rPr>
          <w:sz w:val="18"/>
          <w:szCs w:val="18"/>
          <w:lang w:val="en-US"/>
        </w:rPr>
        <w:t>Australian Journal of P</w:t>
      </w:r>
      <w:r>
        <w:rPr>
          <w:sz w:val="18"/>
          <w:szCs w:val="18"/>
          <w:lang w:val="en-US"/>
        </w:rPr>
        <w:t>hysics, V</w:t>
      </w:r>
      <w:r w:rsidRPr="003621C7">
        <w:rPr>
          <w:sz w:val="18"/>
          <w:szCs w:val="18"/>
          <w:lang w:val="en-US"/>
        </w:rPr>
        <w:t xml:space="preserve">ol. 42, </w:t>
      </w:r>
      <w:r>
        <w:rPr>
          <w:sz w:val="18"/>
          <w:szCs w:val="18"/>
          <w:lang w:val="en-US"/>
        </w:rPr>
        <w:t xml:space="preserve">(1989) </w:t>
      </w:r>
      <w:r w:rsidRPr="003621C7">
        <w:rPr>
          <w:sz w:val="18"/>
          <w:szCs w:val="18"/>
          <w:lang w:val="en-US"/>
        </w:rPr>
        <w:t>25</w:t>
      </w:r>
      <w:r>
        <w:rPr>
          <w:sz w:val="18"/>
          <w:szCs w:val="18"/>
          <w:lang w:val="en-US"/>
        </w:rPr>
        <w:t>-39</w:t>
      </w:r>
    </w:p>
    <w:p w:rsidR="009F0D07" w:rsidRDefault="009F0D07" w:rsidP="00323B42">
      <w:pPr>
        <w:ind w:left="1410" w:hanging="1410"/>
        <w:jc w:val="both"/>
        <w:rPr>
          <w:sz w:val="18"/>
          <w:szCs w:val="18"/>
          <w:lang w:val="en-US"/>
        </w:rPr>
      </w:pPr>
      <w:r>
        <w:rPr>
          <w:sz w:val="18"/>
          <w:szCs w:val="18"/>
          <w:lang w:val="en-US"/>
        </w:rPr>
        <w:t>[</w:t>
      </w:r>
      <w:r w:rsidR="00575596">
        <w:rPr>
          <w:sz w:val="18"/>
          <w:szCs w:val="18"/>
          <w:lang w:val="en-US"/>
        </w:rPr>
        <w:t>Cze13</w:t>
      </w:r>
      <w:r>
        <w:rPr>
          <w:sz w:val="18"/>
          <w:szCs w:val="18"/>
          <w:lang w:val="en-US"/>
        </w:rPr>
        <w:t>]</w:t>
      </w:r>
      <w:r>
        <w:rPr>
          <w:sz w:val="18"/>
          <w:szCs w:val="18"/>
          <w:lang w:val="en-US"/>
        </w:rPr>
        <w:tab/>
      </w:r>
      <w:r>
        <w:rPr>
          <w:sz w:val="18"/>
          <w:szCs w:val="18"/>
          <w:lang w:val="en-US"/>
        </w:rPr>
        <w:tab/>
      </w:r>
      <w:r w:rsidRPr="009F0D07">
        <w:rPr>
          <w:sz w:val="18"/>
          <w:szCs w:val="18"/>
          <w:lang w:val="en-US"/>
        </w:rPr>
        <w:t xml:space="preserve">PET/CT in Oncology: </w:t>
      </w:r>
      <w:proofErr w:type="gramStart"/>
      <w:r w:rsidR="00323B42">
        <w:rPr>
          <w:sz w:val="18"/>
          <w:szCs w:val="18"/>
          <w:lang w:val="en-US"/>
        </w:rPr>
        <w:t xml:space="preserve">Current </w:t>
      </w:r>
      <w:r w:rsidR="00323B42" w:rsidRPr="009F0D07">
        <w:rPr>
          <w:sz w:val="18"/>
          <w:szCs w:val="18"/>
          <w:lang w:val="en-US"/>
        </w:rPr>
        <w:t>Status</w:t>
      </w:r>
      <w:proofErr w:type="gramEnd"/>
      <w:r w:rsidRPr="009F0D07">
        <w:rPr>
          <w:sz w:val="18"/>
          <w:szCs w:val="18"/>
          <w:lang w:val="en-US"/>
        </w:rPr>
        <w:t xml:space="preserve"> and Perspectives</w:t>
      </w:r>
      <w:r>
        <w:rPr>
          <w:sz w:val="18"/>
          <w:szCs w:val="18"/>
          <w:lang w:val="en-US"/>
        </w:rPr>
        <w:t xml:space="preserve">, </w:t>
      </w:r>
      <w:r w:rsidRPr="009F0D07">
        <w:rPr>
          <w:sz w:val="18"/>
          <w:szCs w:val="18"/>
          <w:lang w:val="en-US"/>
        </w:rPr>
        <w:t>J</w:t>
      </w:r>
      <w:r>
        <w:rPr>
          <w:sz w:val="18"/>
          <w:szCs w:val="18"/>
          <w:lang w:val="en-US"/>
        </w:rPr>
        <w:t>.</w:t>
      </w:r>
      <w:r w:rsidR="00323B42">
        <w:rPr>
          <w:sz w:val="18"/>
          <w:szCs w:val="18"/>
          <w:lang w:val="en-US"/>
        </w:rPr>
        <w:t xml:space="preserve"> </w:t>
      </w:r>
      <w:proofErr w:type="spellStart"/>
      <w:r w:rsidR="00323B42">
        <w:rPr>
          <w:sz w:val="18"/>
          <w:szCs w:val="18"/>
          <w:lang w:val="en-US"/>
        </w:rPr>
        <w:t>Czernin</w:t>
      </w:r>
      <w:proofErr w:type="spellEnd"/>
      <w:r w:rsidR="00323B42">
        <w:rPr>
          <w:sz w:val="18"/>
          <w:szCs w:val="18"/>
          <w:lang w:val="en-US"/>
        </w:rPr>
        <w:t>,</w:t>
      </w:r>
      <w:r w:rsidRPr="009F0D07">
        <w:rPr>
          <w:sz w:val="18"/>
          <w:szCs w:val="18"/>
          <w:lang w:val="en-US"/>
        </w:rPr>
        <w:t xml:space="preserve"> M</w:t>
      </w:r>
      <w:r w:rsidR="00323B42">
        <w:rPr>
          <w:sz w:val="18"/>
          <w:szCs w:val="18"/>
          <w:lang w:val="en-US"/>
        </w:rPr>
        <w:t xml:space="preserve">. </w:t>
      </w:r>
      <w:r w:rsidRPr="009F0D07">
        <w:rPr>
          <w:sz w:val="18"/>
          <w:szCs w:val="18"/>
          <w:lang w:val="en-US"/>
        </w:rPr>
        <w:t>Allen-</w:t>
      </w:r>
      <w:proofErr w:type="spellStart"/>
      <w:r w:rsidRPr="009F0D07">
        <w:rPr>
          <w:sz w:val="18"/>
          <w:szCs w:val="18"/>
          <w:lang w:val="en-US"/>
        </w:rPr>
        <w:t>Auerbach</w:t>
      </w:r>
      <w:proofErr w:type="spellEnd"/>
      <w:r w:rsidRPr="009F0D07">
        <w:rPr>
          <w:sz w:val="18"/>
          <w:szCs w:val="18"/>
          <w:lang w:val="en-US"/>
        </w:rPr>
        <w:t>, D</w:t>
      </w:r>
      <w:r w:rsidR="00323B42">
        <w:rPr>
          <w:sz w:val="18"/>
          <w:szCs w:val="18"/>
          <w:lang w:val="en-US"/>
        </w:rPr>
        <w:t xml:space="preserve">. </w:t>
      </w:r>
      <w:proofErr w:type="spellStart"/>
      <w:r w:rsidRPr="009F0D07">
        <w:rPr>
          <w:sz w:val="18"/>
          <w:szCs w:val="18"/>
          <w:lang w:val="en-US"/>
        </w:rPr>
        <w:t>Nathanson</w:t>
      </w:r>
      <w:proofErr w:type="spellEnd"/>
      <w:r w:rsidRPr="009F0D07">
        <w:rPr>
          <w:sz w:val="18"/>
          <w:szCs w:val="18"/>
          <w:lang w:val="en-US"/>
        </w:rPr>
        <w:t>, and K</w:t>
      </w:r>
      <w:r w:rsidR="00323B42">
        <w:rPr>
          <w:sz w:val="18"/>
          <w:szCs w:val="18"/>
          <w:lang w:val="en-US"/>
        </w:rPr>
        <w:t>.</w:t>
      </w:r>
      <w:r w:rsidRPr="009F0D07">
        <w:rPr>
          <w:sz w:val="18"/>
          <w:szCs w:val="18"/>
          <w:lang w:val="en-US"/>
        </w:rPr>
        <w:t xml:space="preserve"> Herrmann</w:t>
      </w:r>
      <w:r w:rsidR="00323B42">
        <w:rPr>
          <w:sz w:val="18"/>
          <w:szCs w:val="18"/>
          <w:lang w:val="en-US"/>
        </w:rPr>
        <w:t xml:space="preserve">, </w:t>
      </w:r>
      <w:proofErr w:type="spellStart"/>
      <w:r w:rsidR="00323B42" w:rsidRPr="00323B42">
        <w:rPr>
          <w:sz w:val="18"/>
          <w:szCs w:val="18"/>
          <w:lang w:val="en-US"/>
        </w:rPr>
        <w:t>Curr</w:t>
      </w:r>
      <w:proofErr w:type="spellEnd"/>
      <w:r w:rsidR="00323B42">
        <w:rPr>
          <w:sz w:val="18"/>
          <w:szCs w:val="18"/>
          <w:lang w:val="en-US"/>
        </w:rPr>
        <w:t>.</w:t>
      </w:r>
      <w:r w:rsidR="00323B42" w:rsidRPr="00323B42">
        <w:rPr>
          <w:sz w:val="18"/>
          <w:szCs w:val="18"/>
          <w:lang w:val="en-US"/>
        </w:rPr>
        <w:t xml:space="preserve"> </w:t>
      </w:r>
      <w:proofErr w:type="spellStart"/>
      <w:r w:rsidR="00323B42" w:rsidRPr="00323B42">
        <w:rPr>
          <w:sz w:val="18"/>
          <w:szCs w:val="18"/>
          <w:lang w:val="en-US"/>
        </w:rPr>
        <w:t>Radiol</w:t>
      </w:r>
      <w:proofErr w:type="spellEnd"/>
      <w:r w:rsidR="00323B42">
        <w:rPr>
          <w:sz w:val="18"/>
          <w:szCs w:val="18"/>
          <w:lang w:val="en-US"/>
        </w:rPr>
        <w:t>.</w:t>
      </w:r>
      <w:r w:rsidR="00323B42" w:rsidRPr="00323B42">
        <w:rPr>
          <w:sz w:val="18"/>
          <w:szCs w:val="18"/>
          <w:lang w:val="en-US"/>
        </w:rPr>
        <w:t xml:space="preserve"> Rep. 1(3)</w:t>
      </w:r>
      <w:r w:rsidR="00323B42">
        <w:rPr>
          <w:sz w:val="18"/>
          <w:szCs w:val="18"/>
          <w:lang w:val="en-US"/>
        </w:rPr>
        <w:t>, (2013)</w:t>
      </w:r>
      <w:r w:rsidR="00323B42" w:rsidRPr="00323B42">
        <w:rPr>
          <w:sz w:val="18"/>
          <w:szCs w:val="18"/>
          <w:lang w:val="en-US"/>
        </w:rPr>
        <w:t xml:space="preserve"> 177</w:t>
      </w:r>
      <w:r w:rsidR="00323B42">
        <w:rPr>
          <w:sz w:val="18"/>
          <w:szCs w:val="18"/>
          <w:lang w:val="en-US"/>
        </w:rPr>
        <w:t>-</w:t>
      </w:r>
      <w:r w:rsidR="00323B42" w:rsidRPr="00323B42">
        <w:rPr>
          <w:sz w:val="18"/>
          <w:szCs w:val="18"/>
          <w:lang w:val="en-US"/>
        </w:rPr>
        <w:t>190</w:t>
      </w:r>
    </w:p>
    <w:p w:rsidR="009F0D07" w:rsidRDefault="009F0D07" w:rsidP="009109E0">
      <w:pPr>
        <w:jc w:val="both"/>
        <w:rPr>
          <w:sz w:val="18"/>
          <w:szCs w:val="18"/>
          <w:lang w:val="en-US"/>
        </w:rPr>
      </w:pPr>
      <w:r>
        <w:rPr>
          <w:sz w:val="18"/>
          <w:szCs w:val="18"/>
          <w:lang w:val="en-US"/>
        </w:rPr>
        <w:t>[Isr19]</w:t>
      </w:r>
      <w:r>
        <w:rPr>
          <w:sz w:val="18"/>
          <w:szCs w:val="18"/>
          <w:lang w:val="en-US"/>
        </w:rPr>
        <w:tab/>
      </w:r>
      <w:r>
        <w:rPr>
          <w:sz w:val="18"/>
          <w:szCs w:val="18"/>
          <w:lang w:val="en-US"/>
        </w:rPr>
        <w:tab/>
      </w:r>
      <w:r w:rsidRPr="009F0D07">
        <w:rPr>
          <w:sz w:val="18"/>
          <w:szCs w:val="18"/>
          <w:lang w:val="en-US"/>
        </w:rPr>
        <w:t>Two decades of SPECT/CT – the coming of age of a technology: An updated review of literature evidence</w:t>
      </w:r>
      <w:r>
        <w:rPr>
          <w:sz w:val="18"/>
          <w:szCs w:val="18"/>
          <w:lang w:val="en-US"/>
        </w:rPr>
        <w:t>,</w:t>
      </w:r>
    </w:p>
    <w:p w:rsidR="009F0D07" w:rsidRDefault="009F0D07" w:rsidP="009F0D07">
      <w:pPr>
        <w:ind w:left="708" w:firstLine="708"/>
        <w:jc w:val="both"/>
        <w:rPr>
          <w:sz w:val="18"/>
          <w:szCs w:val="18"/>
          <w:lang w:val="en-US"/>
        </w:rPr>
      </w:pPr>
      <w:r w:rsidRPr="00323B42">
        <w:rPr>
          <w:sz w:val="18"/>
          <w:szCs w:val="18"/>
          <w:lang w:val="en-US"/>
        </w:rPr>
        <w:t>O. Israel et al</w:t>
      </w:r>
      <w:r w:rsidRPr="009F0D07">
        <w:rPr>
          <w:sz w:val="18"/>
          <w:szCs w:val="18"/>
        </w:rPr>
        <w:t xml:space="preserve">, Euro. J. </w:t>
      </w:r>
      <w:proofErr w:type="spellStart"/>
      <w:r w:rsidRPr="009F0D07">
        <w:rPr>
          <w:sz w:val="18"/>
          <w:szCs w:val="18"/>
        </w:rPr>
        <w:t>Nuc</w:t>
      </w:r>
      <w:proofErr w:type="spellEnd"/>
      <w:r w:rsidRPr="009F0D07">
        <w:rPr>
          <w:sz w:val="18"/>
          <w:szCs w:val="18"/>
        </w:rPr>
        <w:t xml:space="preserve">. Med. </w:t>
      </w:r>
      <w:proofErr w:type="spellStart"/>
      <w:r w:rsidRPr="009F0D07">
        <w:rPr>
          <w:sz w:val="18"/>
          <w:szCs w:val="18"/>
          <w:lang w:val="en-US"/>
        </w:rPr>
        <w:t>Molec</w:t>
      </w:r>
      <w:proofErr w:type="spellEnd"/>
      <w:r>
        <w:rPr>
          <w:sz w:val="18"/>
          <w:szCs w:val="18"/>
          <w:lang w:val="en-US"/>
        </w:rPr>
        <w:t>.</w:t>
      </w:r>
      <w:r w:rsidRPr="009F0D07">
        <w:rPr>
          <w:sz w:val="18"/>
          <w:szCs w:val="18"/>
          <w:lang w:val="en-US"/>
        </w:rPr>
        <w:t xml:space="preserve"> Imaging</w:t>
      </w:r>
      <w:r>
        <w:rPr>
          <w:sz w:val="18"/>
          <w:szCs w:val="18"/>
          <w:lang w:val="en-US"/>
        </w:rPr>
        <w:t xml:space="preserve">, </w:t>
      </w:r>
      <w:r w:rsidRPr="009F0D07">
        <w:rPr>
          <w:sz w:val="18"/>
          <w:szCs w:val="18"/>
          <w:lang w:val="en-US"/>
        </w:rPr>
        <w:t>Vol</w:t>
      </w:r>
      <w:r>
        <w:rPr>
          <w:sz w:val="18"/>
          <w:szCs w:val="18"/>
          <w:lang w:val="en-US"/>
        </w:rPr>
        <w:t>.</w:t>
      </w:r>
      <w:r w:rsidRPr="009F0D07">
        <w:rPr>
          <w:sz w:val="18"/>
          <w:szCs w:val="18"/>
          <w:lang w:val="en-US"/>
        </w:rPr>
        <w:t xml:space="preserve"> 46</w:t>
      </w:r>
      <w:r>
        <w:rPr>
          <w:sz w:val="18"/>
          <w:szCs w:val="18"/>
          <w:lang w:val="en-US"/>
        </w:rPr>
        <w:t>(</w:t>
      </w:r>
      <w:r w:rsidRPr="009F0D07">
        <w:rPr>
          <w:sz w:val="18"/>
          <w:szCs w:val="18"/>
          <w:lang w:val="en-US"/>
        </w:rPr>
        <w:t>10</w:t>
      </w:r>
      <w:r>
        <w:rPr>
          <w:sz w:val="18"/>
          <w:szCs w:val="18"/>
          <w:lang w:val="en-US"/>
        </w:rPr>
        <w:t>), (2019) 1990-2012</w:t>
      </w:r>
      <w:r w:rsidRPr="009F0D07">
        <w:rPr>
          <w:sz w:val="18"/>
          <w:szCs w:val="18"/>
          <w:lang w:val="en-US"/>
        </w:rPr>
        <w:t xml:space="preserve"> </w:t>
      </w:r>
    </w:p>
    <w:p w:rsidR="009109E0" w:rsidRPr="00840A48" w:rsidRDefault="009109E0" w:rsidP="009109E0">
      <w:pPr>
        <w:ind w:left="1410" w:hanging="1410"/>
        <w:jc w:val="both"/>
        <w:rPr>
          <w:sz w:val="18"/>
          <w:szCs w:val="18"/>
          <w:lang w:val="en-US"/>
        </w:rPr>
      </w:pPr>
      <w:r w:rsidRPr="00840A48">
        <w:rPr>
          <w:sz w:val="18"/>
          <w:szCs w:val="18"/>
          <w:lang w:val="en-US"/>
        </w:rPr>
        <w:t>[Blu14]</w:t>
      </w:r>
      <w:r w:rsidRPr="00840A48">
        <w:rPr>
          <w:sz w:val="18"/>
          <w:szCs w:val="18"/>
          <w:lang w:val="en-US"/>
        </w:rPr>
        <w:tab/>
        <w:t xml:space="preserve">Facilities and methods for radioactive ion beam production, Y. </w:t>
      </w:r>
      <w:proofErr w:type="spellStart"/>
      <w:r w:rsidRPr="00840A48">
        <w:rPr>
          <w:sz w:val="18"/>
          <w:szCs w:val="18"/>
          <w:lang w:val="en-US"/>
        </w:rPr>
        <w:t>Blumenfeld</w:t>
      </w:r>
      <w:proofErr w:type="spellEnd"/>
      <w:r w:rsidRPr="00840A48">
        <w:rPr>
          <w:sz w:val="18"/>
          <w:szCs w:val="18"/>
          <w:lang w:val="en-US"/>
        </w:rPr>
        <w:t xml:space="preserve">, T. Nilsson and P. Van </w:t>
      </w:r>
      <w:proofErr w:type="spellStart"/>
      <w:r w:rsidRPr="00840A48">
        <w:rPr>
          <w:sz w:val="18"/>
          <w:szCs w:val="18"/>
          <w:lang w:val="en-US"/>
        </w:rPr>
        <w:t>Duppen</w:t>
      </w:r>
      <w:proofErr w:type="spellEnd"/>
      <w:r w:rsidR="009C0072">
        <w:rPr>
          <w:sz w:val="18"/>
          <w:szCs w:val="18"/>
          <w:lang w:val="en-US"/>
        </w:rPr>
        <w:t>,</w:t>
      </w:r>
    </w:p>
    <w:p w:rsidR="00840A48" w:rsidRPr="001E0F33" w:rsidRDefault="009109E0" w:rsidP="001E0F33">
      <w:pPr>
        <w:ind w:left="1410"/>
        <w:jc w:val="both"/>
        <w:rPr>
          <w:sz w:val="18"/>
          <w:szCs w:val="18"/>
          <w:lang w:val="en-US"/>
        </w:rPr>
      </w:pPr>
      <w:proofErr w:type="spellStart"/>
      <w:r w:rsidRPr="00840A48">
        <w:rPr>
          <w:sz w:val="18"/>
          <w:szCs w:val="18"/>
          <w:lang w:val="en-US"/>
        </w:rPr>
        <w:t>Physica</w:t>
      </w:r>
      <w:proofErr w:type="spellEnd"/>
      <w:r w:rsidRPr="00840A48">
        <w:rPr>
          <w:sz w:val="18"/>
          <w:szCs w:val="18"/>
          <w:lang w:val="en-US"/>
        </w:rPr>
        <w:t xml:space="preserve"> </w:t>
      </w:r>
      <w:proofErr w:type="spellStart"/>
      <w:r w:rsidRPr="00840A48">
        <w:rPr>
          <w:sz w:val="18"/>
          <w:szCs w:val="18"/>
          <w:lang w:val="en-US"/>
        </w:rPr>
        <w:t>Scripta</w:t>
      </w:r>
      <w:proofErr w:type="spellEnd"/>
      <w:r w:rsidRPr="00840A48">
        <w:rPr>
          <w:sz w:val="18"/>
          <w:szCs w:val="18"/>
          <w:lang w:val="en-US"/>
        </w:rPr>
        <w:t xml:space="preserve"> (2013) T152</w:t>
      </w:r>
    </w:p>
    <w:sectPr w:rsidR="00840A48" w:rsidRPr="001E0F33" w:rsidSect="00476E6E">
      <w:footerReference w:type="even" r:id="rId12"/>
      <w:footerReference w:type="default" r:id="rId13"/>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4D2C" w:rsidRDefault="00B64D2C" w:rsidP="00D23D89">
      <w:r>
        <w:separator/>
      </w:r>
    </w:p>
  </w:endnote>
  <w:endnote w:type="continuationSeparator" w:id="0">
    <w:p w:rsidR="00B64D2C" w:rsidRDefault="00B64D2C" w:rsidP="00D23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DDD" w:rsidRDefault="00870DDD" w:rsidP="006A599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870DDD" w:rsidRDefault="00870DDD" w:rsidP="00D23D8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DDD" w:rsidRDefault="00870DDD" w:rsidP="006A599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FE5315">
      <w:rPr>
        <w:rStyle w:val="PageNumber"/>
        <w:noProof/>
      </w:rPr>
      <w:t>4</w:t>
    </w:r>
    <w:r>
      <w:rPr>
        <w:rStyle w:val="PageNumber"/>
      </w:rPr>
      <w:fldChar w:fldCharType="end"/>
    </w:r>
  </w:p>
  <w:p w:rsidR="00870DDD" w:rsidRDefault="00870DDD" w:rsidP="00D23D8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4D2C" w:rsidRDefault="00B64D2C" w:rsidP="00D23D89">
      <w:r>
        <w:separator/>
      </w:r>
    </w:p>
  </w:footnote>
  <w:footnote w:type="continuationSeparator" w:id="0">
    <w:p w:rsidR="00B64D2C" w:rsidRDefault="00B64D2C" w:rsidP="00D23D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2E0F09"/>
    <w:multiLevelType w:val="hybridMultilevel"/>
    <w:tmpl w:val="1A36CAA2"/>
    <w:lvl w:ilvl="0" w:tplc="04090001">
      <w:start w:val="1"/>
      <w:numFmt w:val="bullet"/>
      <w:lvlText w:val=""/>
      <w:lvlJc w:val="left"/>
      <w:pPr>
        <w:ind w:left="1065" w:hanging="360"/>
      </w:pPr>
      <w:rPr>
        <w:rFonts w:ascii="Symbol" w:hAnsi="Symbol" w:hint="default"/>
      </w:rPr>
    </w:lvl>
    <w:lvl w:ilvl="1" w:tplc="04090003" w:tentative="1">
      <w:start w:val="1"/>
      <w:numFmt w:val="bullet"/>
      <w:lvlText w:val="o"/>
      <w:lvlJc w:val="left"/>
      <w:pPr>
        <w:ind w:left="1785" w:hanging="360"/>
      </w:pPr>
      <w:rPr>
        <w:rFonts w:ascii="Courier New" w:hAnsi="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 w15:restartNumberingAfterBreak="0">
    <w:nsid w:val="7CC25FEE"/>
    <w:multiLevelType w:val="hybridMultilevel"/>
    <w:tmpl w:val="B218E4EE"/>
    <w:lvl w:ilvl="0" w:tplc="3B8E468A">
      <w:start w:val="5"/>
      <w:numFmt w:val="bullet"/>
      <w:lvlText w:val="-"/>
      <w:lvlJc w:val="left"/>
      <w:pPr>
        <w:ind w:left="1065" w:hanging="360"/>
      </w:pPr>
      <w:rPr>
        <w:rFonts w:ascii="Calibri" w:eastAsia="Times New Roman" w:hAnsi="Calibri" w:hint="default"/>
      </w:rPr>
    </w:lvl>
    <w:lvl w:ilvl="1" w:tplc="04090003" w:tentative="1">
      <w:start w:val="1"/>
      <w:numFmt w:val="bullet"/>
      <w:lvlText w:val="o"/>
      <w:lvlJc w:val="left"/>
      <w:pPr>
        <w:ind w:left="1785" w:hanging="360"/>
      </w:pPr>
      <w:rPr>
        <w:rFonts w:ascii="Courier New" w:hAnsi="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hint="default"/>
      </w:rPr>
    </w:lvl>
    <w:lvl w:ilvl="8" w:tplc="04090005" w:tentative="1">
      <w:start w:val="1"/>
      <w:numFmt w:val="bullet"/>
      <w:lvlText w:val=""/>
      <w:lvlJc w:val="left"/>
      <w:pPr>
        <w:ind w:left="682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14D"/>
    <w:rsid w:val="0000580A"/>
    <w:rsid w:val="00006C67"/>
    <w:rsid w:val="00014ABB"/>
    <w:rsid w:val="00015796"/>
    <w:rsid w:val="0002214D"/>
    <w:rsid w:val="000278A7"/>
    <w:rsid w:val="00031ECA"/>
    <w:rsid w:val="00074CAB"/>
    <w:rsid w:val="00086B4B"/>
    <w:rsid w:val="00092B9D"/>
    <w:rsid w:val="000B1FED"/>
    <w:rsid w:val="000B7894"/>
    <w:rsid w:val="000C4833"/>
    <w:rsid w:val="000E1082"/>
    <w:rsid w:val="000F6F7E"/>
    <w:rsid w:val="001127CC"/>
    <w:rsid w:val="001276B8"/>
    <w:rsid w:val="00143A86"/>
    <w:rsid w:val="001452D8"/>
    <w:rsid w:val="00164123"/>
    <w:rsid w:val="00164C6E"/>
    <w:rsid w:val="001722AE"/>
    <w:rsid w:val="00181C1A"/>
    <w:rsid w:val="001900FA"/>
    <w:rsid w:val="001912D4"/>
    <w:rsid w:val="00197173"/>
    <w:rsid w:val="001A4D50"/>
    <w:rsid w:val="001B3122"/>
    <w:rsid w:val="001D01E0"/>
    <w:rsid w:val="001E01A9"/>
    <w:rsid w:val="001E0F33"/>
    <w:rsid w:val="001E1276"/>
    <w:rsid w:val="001F7D1B"/>
    <w:rsid w:val="00270339"/>
    <w:rsid w:val="002707CD"/>
    <w:rsid w:val="00270F0E"/>
    <w:rsid w:val="00280C18"/>
    <w:rsid w:val="002D034A"/>
    <w:rsid w:val="002F1C64"/>
    <w:rsid w:val="0032208A"/>
    <w:rsid w:val="00323B42"/>
    <w:rsid w:val="0033377F"/>
    <w:rsid w:val="00335157"/>
    <w:rsid w:val="003621C7"/>
    <w:rsid w:val="003644F4"/>
    <w:rsid w:val="00372CA9"/>
    <w:rsid w:val="003930A8"/>
    <w:rsid w:val="003B5089"/>
    <w:rsid w:val="003C1E14"/>
    <w:rsid w:val="003C6C31"/>
    <w:rsid w:val="003D33C7"/>
    <w:rsid w:val="00400C99"/>
    <w:rsid w:val="00436193"/>
    <w:rsid w:val="004447FD"/>
    <w:rsid w:val="004521C6"/>
    <w:rsid w:val="00456CC3"/>
    <w:rsid w:val="00476E6E"/>
    <w:rsid w:val="00484762"/>
    <w:rsid w:val="0049132F"/>
    <w:rsid w:val="00494491"/>
    <w:rsid w:val="004951E3"/>
    <w:rsid w:val="004A51B3"/>
    <w:rsid w:val="004B3BB2"/>
    <w:rsid w:val="004D089A"/>
    <w:rsid w:val="004D2282"/>
    <w:rsid w:val="004D4F78"/>
    <w:rsid w:val="004E466D"/>
    <w:rsid w:val="005222F8"/>
    <w:rsid w:val="00533459"/>
    <w:rsid w:val="00534A67"/>
    <w:rsid w:val="005473E1"/>
    <w:rsid w:val="00550BC2"/>
    <w:rsid w:val="00556F92"/>
    <w:rsid w:val="00567C46"/>
    <w:rsid w:val="00575596"/>
    <w:rsid w:val="005836CA"/>
    <w:rsid w:val="00584B04"/>
    <w:rsid w:val="005877D2"/>
    <w:rsid w:val="00587829"/>
    <w:rsid w:val="005E1FB8"/>
    <w:rsid w:val="005E7B66"/>
    <w:rsid w:val="00610AB2"/>
    <w:rsid w:val="0063062A"/>
    <w:rsid w:val="006433C5"/>
    <w:rsid w:val="00646CCF"/>
    <w:rsid w:val="006A599B"/>
    <w:rsid w:val="006B2023"/>
    <w:rsid w:val="006B7845"/>
    <w:rsid w:val="006C613C"/>
    <w:rsid w:val="006E011E"/>
    <w:rsid w:val="006E4EAC"/>
    <w:rsid w:val="006F3534"/>
    <w:rsid w:val="0071215B"/>
    <w:rsid w:val="00714BAA"/>
    <w:rsid w:val="00721B0E"/>
    <w:rsid w:val="00746F90"/>
    <w:rsid w:val="007568C1"/>
    <w:rsid w:val="00763FDD"/>
    <w:rsid w:val="00767EB6"/>
    <w:rsid w:val="00770E06"/>
    <w:rsid w:val="00796F53"/>
    <w:rsid w:val="007C30D3"/>
    <w:rsid w:val="007C46B9"/>
    <w:rsid w:val="007F1E1F"/>
    <w:rsid w:val="007F2585"/>
    <w:rsid w:val="0082097D"/>
    <w:rsid w:val="00840A48"/>
    <w:rsid w:val="00843ABC"/>
    <w:rsid w:val="0084542F"/>
    <w:rsid w:val="00853842"/>
    <w:rsid w:val="00870DDD"/>
    <w:rsid w:val="00880CCC"/>
    <w:rsid w:val="008D0B45"/>
    <w:rsid w:val="008E4405"/>
    <w:rsid w:val="008F622B"/>
    <w:rsid w:val="00904254"/>
    <w:rsid w:val="00906293"/>
    <w:rsid w:val="00906D8C"/>
    <w:rsid w:val="009109E0"/>
    <w:rsid w:val="00913328"/>
    <w:rsid w:val="00936856"/>
    <w:rsid w:val="00945086"/>
    <w:rsid w:val="00947816"/>
    <w:rsid w:val="009617C6"/>
    <w:rsid w:val="009730E0"/>
    <w:rsid w:val="00994988"/>
    <w:rsid w:val="00995975"/>
    <w:rsid w:val="009A32E3"/>
    <w:rsid w:val="009B2513"/>
    <w:rsid w:val="009C0072"/>
    <w:rsid w:val="009C2463"/>
    <w:rsid w:val="009F0D07"/>
    <w:rsid w:val="00A11E70"/>
    <w:rsid w:val="00A22F3C"/>
    <w:rsid w:val="00AE68D3"/>
    <w:rsid w:val="00AF156E"/>
    <w:rsid w:val="00B15145"/>
    <w:rsid w:val="00B41363"/>
    <w:rsid w:val="00B47D8F"/>
    <w:rsid w:val="00B64D2C"/>
    <w:rsid w:val="00B85708"/>
    <w:rsid w:val="00B871E3"/>
    <w:rsid w:val="00B9148C"/>
    <w:rsid w:val="00BA505C"/>
    <w:rsid w:val="00BB223F"/>
    <w:rsid w:val="00BD4D61"/>
    <w:rsid w:val="00BD5AEA"/>
    <w:rsid w:val="00C34D3B"/>
    <w:rsid w:val="00C40395"/>
    <w:rsid w:val="00C66AB3"/>
    <w:rsid w:val="00C81323"/>
    <w:rsid w:val="00C959B8"/>
    <w:rsid w:val="00C96D8C"/>
    <w:rsid w:val="00CA0A18"/>
    <w:rsid w:val="00CB0C79"/>
    <w:rsid w:val="00CB7E26"/>
    <w:rsid w:val="00CC1903"/>
    <w:rsid w:val="00CD3A70"/>
    <w:rsid w:val="00CD5050"/>
    <w:rsid w:val="00CE3D4C"/>
    <w:rsid w:val="00CE5F4C"/>
    <w:rsid w:val="00CF3708"/>
    <w:rsid w:val="00CF5367"/>
    <w:rsid w:val="00D030CF"/>
    <w:rsid w:val="00D15C6E"/>
    <w:rsid w:val="00D23D89"/>
    <w:rsid w:val="00D45218"/>
    <w:rsid w:val="00D61521"/>
    <w:rsid w:val="00D622A6"/>
    <w:rsid w:val="00D727FB"/>
    <w:rsid w:val="00D81C5F"/>
    <w:rsid w:val="00D829C6"/>
    <w:rsid w:val="00D85C65"/>
    <w:rsid w:val="00DA294E"/>
    <w:rsid w:val="00DB3D51"/>
    <w:rsid w:val="00DD4656"/>
    <w:rsid w:val="00DD7C6C"/>
    <w:rsid w:val="00DE7440"/>
    <w:rsid w:val="00DE763C"/>
    <w:rsid w:val="00E0793D"/>
    <w:rsid w:val="00E20287"/>
    <w:rsid w:val="00E3130C"/>
    <w:rsid w:val="00E874C6"/>
    <w:rsid w:val="00E95FEA"/>
    <w:rsid w:val="00EB35DA"/>
    <w:rsid w:val="00ED3B11"/>
    <w:rsid w:val="00F01610"/>
    <w:rsid w:val="00F03959"/>
    <w:rsid w:val="00F1289A"/>
    <w:rsid w:val="00F1597C"/>
    <w:rsid w:val="00F21DE1"/>
    <w:rsid w:val="00F473B3"/>
    <w:rsid w:val="00F5600E"/>
    <w:rsid w:val="00F67B7B"/>
    <w:rsid w:val="00FB6BD1"/>
    <w:rsid w:val="00FD2411"/>
    <w:rsid w:val="00FE5315"/>
    <w:rsid w:val="00FE5B69"/>
    <w:rsid w:val="00FF0F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C16193"/>
  <w15:docId w15:val="{C5110691-460A-4CAF-B691-779A329DD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0339"/>
    <w:rPr>
      <w:sz w:val="24"/>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214D"/>
    <w:pPr>
      <w:ind w:left="720"/>
      <w:contextualSpacing/>
    </w:pPr>
  </w:style>
  <w:style w:type="character" w:styleId="Hyperlink">
    <w:name w:val="Hyperlink"/>
    <w:basedOn w:val="DefaultParagraphFont"/>
    <w:uiPriority w:val="99"/>
    <w:rsid w:val="001A4D50"/>
    <w:rPr>
      <w:rFonts w:cs="Times New Roman"/>
      <w:color w:val="0563C1"/>
      <w:u w:val="single"/>
    </w:rPr>
  </w:style>
  <w:style w:type="character" w:customStyle="1" w:styleId="UnresolvedMention1">
    <w:name w:val="Unresolved Mention1"/>
    <w:basedOn w:val="DefaultParagraphFont"/>
    <w:uiPriority w:val="99"/>
    <w:semiHidden/>
    <w:rsid w:val="001A4D50"/>
    <w:rPr>
      <w:rFonts w:cs="Times New Roman"/>
      <w:color w:val="605E5C"/>
      <w:shd w:val="clear" w:color="auto" w:fill="E1DFDD"/>
    </w:rPr>
  </w:style>
  <w:style w:type="paragraph" w:styleId="Footer">
    <w:name w:val="footer"/>
    <w:basedOn w:val="Normal"/>
    <w:link w:val="FooterChar"/>
    <w:uiPriority w:val="99"/>
    <w:rsid w:val="00D23D89"/>
    <w:pPr>
      <w:tabs>
        <w:tab w:val="center" w:pos="4536"/>
        <w:tab w:val="right" w:pos="9072"/>
      </w:tabs>
    </w:pPr>
  </w:style>
  <w:style w:type="character" w:customStyle="1" w:styleId="FooterChar">
    <w:name w:val="Footer Char"/>
    <w:basedOn w:val="DefaultParagraphFont"/>
    <w:link w:val="Footer"/>
    <w:uiPriority w:val="99"/>
    <w:locked/>
    <w:rsid w:val="00D23D89"/>
    <w:rPr>
      <w:rFonts w:cs="Times New Roman"/>
    </w:rPr>
  </w:style>
  <w:style w:type="character" w:styleId="PageNumber">
    <w:name w:val="page number"/>
    <w:basedOn w:val="DefaultParagraphFont"/>
    <w:uiPriority w:val="99"/>
    <w:semiHidden/>
    <w:rsid w:val="00D23D89"/>
    <w:rPr>
      <w:rFonts w:cs="Times New Roman"/>
    </w:rPr>
  </w:style>
  <w:style w:type="paragraph" w:styleId="BalloonText">
    <w:name w:val="Balloon Text"/>
    <w:basedOn w:val="Normal"/>
    <w:link w:val="BalloonTextChar"/>
    <w:uiPriority w:val="99"/>
    <w:semiHidden/>
    <w:rsid w:val="001722AE"/>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722AE"/>
    <w:rPr>
      <w:rFonts w:ascii="Segoe UI" w:hAnsi="Segoe UI" w:cs="Segoe UI"/>
      <w:sz w:val="18"/>
      <w:szCs w:val="18"/>
    </w:rPr>
  </w:style>
  <w:style w:type="character" w:styleId="CommentReference">
    <w:name w:val="annotation reference"/>
    <w:basedOn w:val="DefaultParagraphFont"/>
    <w:uiPriority w:val="99"/>
    <w:semiHidden/>
    <w:rsid w:val="00CE5F4C"/>
    <w:rPr>
      <w:rFonts w:cs="Times New Roman"/>
      <w:sz w:val="16"/>
      <w:szCs w:val="16"/>
    </w:rPr>
  </w:style>
  <w:style w:type="paragraph" w:styleId="CommentText">
    <w:name w:val="annotation text"/>
    <w:basedOn w:val="Normal"/>
    <w:link w:val="CommentTextChar"/>
    <w:uiPriority w:val="99"/>
    <w:semiHidden/>
    <w:rsid w:val="00CE5F4C"/>
    <w:rPr>
      <w:sz w:val="20"/>
      <w:szCs w:val="20"/>
    </w:rPr>
  </w:style>
  <w:style w:type="character" w:customStyle="1" w:styleId="CommentTextChar">
    <w:name w:val="Comment Text Char"/>
    <w:basedOn w:val="DefaultParagraphFont"/>
    <w:link w:val="CommentText"/>
    <w:uiPriority w:val="99"/>
    <w:semiHidden/>
    <w:locked/>
    <w:rsid w:val="00CE5F4C"/>
    <w:rPr>
      <w:rFonts w:cs="Times New Roman"/>
      <w:sz w:val="20"/>
      <w:szCs w:val="20"/>
    </w:rPr>
  </w:style>
  <w:style w:type="paragraph" w:styleId="CommentSubject">
    <w:name w:val="annotation subject"/>
    <w:basedOn w:val="CommentText"/>
    <w:next w:val="CommentText"/>
    <w:link w:val="CommentSubjectChar"/>
    <w:uiPriority w:val="99"/>
    <w:semiHidden/>
    <w:rsid w:val="00CE5F4C"/>
    <w:rPr>
      <w:b/>
      <w:bCs/>
    </w:rPr>
  </w:style>
  <w:style w:type="character" w:customStyle="1" w:styleId="CommentSubjectChar">
    <w:name w:val="Comment Subject Char"/>
    <w:basedOn w:val="CommentTextChar"/>
    <w:link w:val="CommentSubject"/>
    <w:uiPriority w:val="99"/>
    <w:semiHidden/>
    <w:locked/>
    <w:rsid w:val="00CE5F4C"/>
    <w:rPr>
      <w:rFonts w:cs="Times New Roman"/>
      <w:b/>
      <w:bCs/>
      <w:sz w:val="20"/>
      <w:szCs w:val="20"/>
    </w:rPr>
  </w:style>
  <w:style w:type="table" w:styleId="TableGrid">
    <w:name w:val="Table Grid"/>
    <w:basedOn w:val="TableNormal"/>
    <w:uiPriority w:val="99"/>
    <w:rsid w:val="00E2028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rsid w:val="00936856"/>
    <w:pPr>
      <w:spacing w:before="100" w:beforeAutospacing="1" w:after="100" w:afterAutospacing="1"/>
    </w:pPr>
    <w:rPr>
      <w:rFonts w:ascii="Times New Roman" w:eastAsia="Times New Roman" w:hAnsi="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129403">
      <w:marLeft w:val="0"/>
      <w:marRight w:val="0"/>
      <w:marTop w:val="0"/>
      <w:marBottom w:val="0"/>
      <w:divBdr>
        <w:top w:val="none" w:sz="0" w:space="0" w:color="auto"/>
        <w:left w:val="none" w:sz="0" w:space="0" w:color="auto"/>
        <w:bottom w:val="none" w:sz="0" w:space="0" w:color="auto"/>
        <w:right w:val="none" w:sz="0" w:space="0" w:color="auto"/>
      </w:divBdr>
      <w:divsChild>
        <w:div w:id="1597129404">
          <w:marLeft w:val="0"/>
          <w:marRight w:val="0"/>
          <w:marTop w:val="0"/>
          <w:marBottom w:val="0"/>
          <w:divBdr>
            <w:top w:val="none" w:sz="0" w:space="0" w:color="auto"/>
            <w:left w:val="none" w:sz="0" w:space="0" w:color="auto"/>
            <w:bottom w:val="none" w:sz="0" w:space="0" w:color="auto"/>
            <w:right w:val="none" w:sz="0" w:space="0" w:color="auto"/>
          </w:divBdr>
          <w:divsChild>
            <w:div w:id="1597129412">
              <w:marLeft w:val="0"/>
              <w:marRight w:val="0"/>
              <w:marTop w:val="0"/>
              <w:marBottom w:val="0"/>
              <w:divBdr>
                <w:top w:val="none" w:sz="0" w:space="0" w:color="auto"/>
                <w:left w:val="none" w:sz="0" w:space="0" w:color="auto"/>
                <w:bottom w:val="none" w:sz="0" w:space="0" w:color="auto"/>
                <w:right w:val="none" w:sz="0" w:space="0" w:color="auto"/>
              </w:divBdr>
              <w:divsChild>
                <w:div w:id="159712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129406">
      <w:marLeft w:val="0"/>
      <w:marRight w:val="0"/>
      <w:marTop w:val="0"/>
      <w:marBottom w:val="0"/>
      <w:divBdr>
        <w:top w:val="none" w:sz="0" w:space="0" w:color="auto"/>
        <w:left w:val="none" w:sz="0" w:space="0" w:color="auto"/>
        <w:bottom w:val="none" w:sz="0" w:space="0" w:color="auto"/>
        <w:right w:val="none" w:sz="0" w:space="0" w:color="auto"/>
      </w:divBdr>
    </w:div>
    <w:div w:id="1597129409">
      <w:marLeft w:val="0"/>
      <w:marRight w:val="0"/>
      <w:marTop w:val="0"/>
      <w:marBottom w:val="0"/>
      <w:divBdr>
        <w:top w:val="none" w:sz="0" w:space="0" w:color="auto"/>
        <w:left w:val="none" w:sz="0" w:space="0" w:color="auto"/>
        <w:bottom w:val="none" w:sz="0" w:space="0" w:color="auto"/>
        <w:right w:val="none" w:sz="0" w:space="0" w:color="auto"/>
      </w:divBdr>
    </w:div>
    <w:div w:id="1597129410">
      <w:marLeft w:val="0"/>
      <w:marRight w:val="0"/>
      <w:marTop w:val="0"/>
      <w:marBottom w:val="0"/>
      <w:divBdr>
        <w:top w:val="none" w:sz="0" w:space="0" w:color="auto"/>
        <w:left w:val="none" w:sz="0" w:space="0" w:color="auto"/>
        <w:bottom w:val="none" w:sz="0" w:space="0" w:color="auto"/>
        <w:right w:val="none" w:sz="0" w:space="0" w:color="auto"/>
      </w:divBdr>
      <w:divsChild>
        <w:div w:id="1597129405">
          <w:marLeft w:val="0"/>
          <w:marRight w:val="0"/>
          <w:marTop w:val="0"/>
          <w:marBottom w:val="0"/>
          <w:divBdr>
            <w:top w:val="none" w:sz="0" w:space="0" w:color="auto"/>
            <w:left w:val="none" w:sz="0" w:space="0" w:color="auto"/>
            <w:bottom w:val="none" w:sz="0" w:space="0" w:color="auto"/>
            <w:right w:val="none" w:sz="0" w:space="0" w:color="auto"/>
          </w:divBdr>
          <w:divsChild>
            <w:div w:id="1597129407">
              <w:marLeft w:val="0"/>
              <w:marRight w:val="0"/>
              <w:marTop w:val="0"/>
              <w:marBottom w:val="0"/>
              <w:divBdr>
                <w:top w:val="none" w:sz="0" w:space="0" w:color="auto"/>
                <w:left w:val="none" w:sz="0" w:space="0" w:color="auto"/>
                <w:bottom w:val="none" w:sz="0" w:space="0" w:color="auto"/>
                <w:right w:val="none" w:sz="0" w:space="0" w:color="auto"/>
              </w:divBdr>
              <w:divsChild>
                <w:div w:id="159712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SP2020-GT10-COPIL-L@IN2P3.F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PROSP2020-GT10-COPIL-L@IN2P3.F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AA4B8-D4DC-4BD8-871D-04287F76A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TotalTime>
  <Pages>4</Pages>
  <Words>1452</Words>
  <Characters>8280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Emil TRAYKOV</cp:lastModifiedBy>
  <cp:revision>34</cp:revision>
  <cp:lastPrinted>2019-10-28T17:20:00Z</cp:lastPrinted>
  <dcterms:created xsi:type="dcterms:W3CDTF">2019-10-28T17:18:00Z</dcterms:created>
  <dcterms:modified xsi:type="dcterms:W3CDTF">2019-11-07T12:35:00Z</dcterms:modified>
</cp:coreProperties>
</file>