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Layout w:type="fixed"/>
        <w:tblLook w:val="0000" w:firstRow="0" w:lastRow="0" w:firstColumn="0" w:lastColumn="0" w:noHBand="0" w:noVBand="0"/>
      </w:tblPr>
      <w:tblGrid>
        <w:gridCol w:w="1715"/>
        <w:gridCol w:w="5622"/>
        <w:gridCol w:w="1943"/>
      </w:tblGrid>
      <w:tr w:rsidR="00F46F99">
        <w:tc>
          <w:tcPr>
            <w:tcW w:w="1715" w:type="dxa"/>
            <w:tcBorders>
              <w:top w:val="single" w:sz="4" w:space="0" w:color="000000"/>
              <w:left w:val="single" w:sz="4" w:space="0" w:color="000000"/>
              <w:bottom w:val="single" w:sz="4" w:space="0" w:color="000000"/>
            </w:tcBorders>
            <w:shd w:val="clear" w:color="auto" w:fill="auto"/>
          </w:tcPr>
          <w:p w:rsidR="00F46F99" w:rsidRDefault="00BC49EB">
            <w:pPr>
              <w:rPr>
                <w:sz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2pt" filled="t">
                  <v:fill color2="black"/>
                  <v:imagedata r:id="rId6" o:title=""/>
                </v:shape>
              </w:pict>
            </w:r>
          </w:p>
        </w:tc>
        <w:tc>
          <w:tcPr>
            <w:tcW w:w="5622" w:type="dxa"/>
            <w:tcBorders>
              <w:top w:val="single" w:sz="4" w:space="0" w:color="000000"/>
              <w:left w:val="single" w:sz="4" w:space="0" w:color="000000"/>
              <w:bottom w:val="single" w:sz="4" w:space="0" w:color="000000"/>
            </w:tcBorders>
            <w:shd w:val="clear" w:color="auto" w:fill="auto"/>
          </w:tcPr>
          <w:p w:rsidR="00F46F99" w:rsidRDefault="00337620" w:rsidP="00BF4874">
            <w:pPr>
              <w:jc w:val="center"/>
            </w:pPr>
            <w:r>
              <w:rPr>
                <w:sz w:val="32"/>
              </w:rPr>
              <w:t>Compte-rendu de réunion interne</w:t>
            </w:r>
            <w:r>
              <w:rPr>
                <w:sz w:val="32"/>
              </w:rPr>
              <w:br/>
              <w:t xml:space="preserve">du </w:t>
            </w:r>
            <w:r w:rsidR="00BF4874">
              <w:rPr>
                <w:sz w:val="32"/>
              </w:rPr>
              <w:t>12/03</w:t>
            </w:r>
            <w:r>
              <w:rPr>
                <w:sz w:val="32"/>
              </w:rPr>
              <w:t>/2019</w:t>
            </w: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F46F99" w:rsidRDefault="00BC49EB">
            <w:pPr>
              <w:jc w:val="center"/>
              <w:rPr>
                <w:rFonts w:ascii="OCR A Extended" w:hAnsi="OCR A Extended" w:cs="OCR A Extended"/>
                <w:b/>
                <w:i/>
                <w:sz w:val="24"/>
                <w:szCs w:val="24"/>
              </w:rPr>
            </w:pPr>
            <w:r>
              <w:pict>
                <v:shape id="_x0000_i1026" type="#_x0000_t75" style="width:62.25pt;height:32.25pt" filled="t">
                  <v:fill color2="black"/>
                  <v:imagedata r:id="rId7" o:title=""/>
                </v:shape>
              </w:pict>
            </w:r>
          </w:p>
          <w:p w:rsidR="00F46F99" w:rsidRDefault="00337620">
            <w:pPr>
              <w:jc w:val="center"/>
            </w:pPr>
            <w:r>
              <w:rPr>
                <w:rFonts w:ascii="OCR A Extended" w:hAnsi="OCR A Extended" w:cs="OCR A Extended"/>
                <w:b/>
                <w:i/>
                <w:sz w:val="24"/>
                <w:szCs w:val="24"/>
              </w:rPr>
              <w:t>T2K-phaseII</w:t>
            </w:r>
          </w:p>
        </w:tc>
      </w:tr>
      <w:tr w:rsidR="00F46F99">
        <w:tc>
          <w:tcPr>
            <w:tcW w:w="1715" w:type="dxa"/>
            <w:tcBorders>
              <w:top w:val="single" w:sz="4" w:space="0" w:color="000000"/>
              <w:left w:val="single" w:sz="4" w:space="0" w:color="000000"/>
              <w:bottom w:val="single" w:sz="4" w:space="0" w:color="000000"/>
            </w:tcBorders>
            <w:shd w:val="clear" w:color="auto" w:fill="auto"/>
          </w:tcPr>
          <w:p w:rsidR="00F46F99" w:rsidRDefault="00337620">
            <w:pPr>
              <w:rPr>
                <w:sz w:val="18"/>
                <w:szCs w:val="18"/>
              </w:rPr>
            </w:pPr>
            <w:r>
              <w:t>Auteur (s) :</w:t>
            </w:r>
          </w:p>
          <w:p w:rsidR="00F46F99" w:rsidRDefault="00337620">
            <w:r>
              <w:rPr>
                <w:sz w:val="18"/>
                <w:szCs w:val="18"/>
              </w:rPr>
              <w:t xml:space="preserve">Jean-Marc </w:t>
            </w:r>
            <w:proofErr w:type="spellStart"/>
            <w:r>
              <w:rPr>
                <w:sz w:val="18"/>
                <w:szCs w:val="18"/>
              </w:rPr>
              <w:t>Parraud</w:t>
            </w:r>
            <w:proofErr w:type="spellEnd"/>
          </w:p>
        </w:tc>
        <w:tc>
          <w:tcPr>
            <w:tcW w:w="5622" w:type="dxa"/>
            <w:tcBorders>
              <w:top w:val="single" w:sz="4" w:space="0" w:color="000000"/>
              <w:left w:val="single" w:sz="4" w:space="0" w:color="000000"/>
              <w:bottom w:val="single" w:sz="4" w:space="0" w:color="000000"/>
            </w:tcBorders>
            <w:shd w:val="clear" w:color="auto" w:fill="auto"/>
          </w:tcPr>
          <w:p w:rsidR="00F46F99" w:rsidRDefault="00337620">
            <w:pPr>
              <w:rPr>
                <w:sz w:val="20"/>
                <w:szCs w:val="20"/>
              </w:rPr>
            </w:pPr>
            <w:r>
              <w:t xml:space="preserve">Diffusion : </w:t>
            </w:r>
            <w:r>
              <w:rPr>
                <w:sz w:val="20"/>
                <w:szCs w:val="20"/>
              </w:rPr>
              <w:t xml:space="preserve">Boris Popov, Claudio </w:t>
            </w:r>
            <w:proofErr w:type="spellStart"/>
            <w:r>
              <w:rPr>
                <w:sz w:val="20"/>
                <w:szCs w:val="20"/>
              </w:rPr>
              <w:t>Giganti</w:t>
            </w:r>
            <w:proofErr w:type="spellEnd"/>
            <w:r>
              <w:rPr>
                <w:sz w:val="20"/>
                <w:szCs w:val="20"/>
              </w:rPr>
              <w:t xml:space="preserve">, Jacques </w:t>
            </w:r>
            <w:proofErr w:type="spellStart"/>
            <w:r>
              <w:rPr>
                <w:sz w:val="20"/>
                <w:szCs w:val="20"/>
              </w:rPr>
              <w:t>Dumarchez</w:t>
            </w:r>
            <w:proofErr w:type="spellEnd"/>
            <w:r>
              <w:rPr>
                <w:sz w:val="20"/>
                <w:szCs w:val="20"/>
              </w:rPr>
              <w:t xml:space="preserve">, Mathieu </w:t>
            </w:r>
            <w:proofErr w:type="spellStart"/>
            <w:r>
              <w:rPr>
                <w:sz w:val="20"/>
                <w:szCs w:val="20"/>
              </w:rPr>
              <w:t>Guigue</w:t>
            </w:r>
            <w:proofErr w:type="spellEnd"/>
          </w:p>
          <w:p w:rsidR="00F46F99" w:rsidRDefault="00337620">
            <w:r>
              <w:rPr>
                <w:sz w:val="20"/>
                <w:szCs w:val="20"/>
              </w:rPr>
              <w:t xml:space="preserve">Jean-Marc </w:t>
            </w:r>
            <w:proofErr w:type="spellStart"/>
            <w:r>
              <w:rPr>
                <w:sz w:val="20"/>
                <w:szCs w:val="20"/>
              </w:rPr>
              <w:t>Parraud</w:t>
            </w:r>
            <w:proofErr w:type="spellEnd"/>
            <w:r>
              <w:rPr>
                <w:sz w:val="20"/>
                <w:szCs w:val="20"/>
              </w:rPr>
              <w:t xml:space="preserve">, François </w:t>
            </w:r>
            <w:proofErr w:type="spellStart"/>
            <w:r>
              <w:rPr>
                <w:sz w:val="20"/>
                <w:szCs w:val="20"/>
              </w:rPr>
              <w:t>Toussenel</w:t>
            </w:r>
            <w:proofErr w:type="spellEnd"/>
            <w:r>
              <w:rPr>
                <w:sz w:val="20"/>
                <w:szCs w:val="20"/>
              </w:rPr>
              <w:t xml:space="preserve">, </w:t>
            </w:r>
            <w:proofErr w:type="spellStart"/>
            <w:r>
              <w:rPr>
                <w:sz w:val="20"/>
                <w:szCs w:val="20"/>
              </w:rPr>
              <w:t>Eric</w:t>
            </w:r>
            <w:proofErr w:type="spellEnd"/>
            <w:r>
              <w:rPr>
                <w:sz w:val="20"/>
                <w:szCs w:val="20"/>
              </w:rPr>
              <w:t xml:space="preserve"> Pierre, William </w:t>
            </w:r>
            <w:proofErr w:type="spellStart"/>
            <w:r>
              <w:rPr>
                <w:sz w:val="20"/>
                <w:szCs w:val="20"/>
              </w:rPr>
              <w:t>Ceria</w:t>
            </w:r>
            <w:proofErr w:type="spellEnd"/>
            <w:r>
              <w:rPr>
                <w:sz w:val="20"/>
                <w:szCs w:val="20"/>
              </w:rPr>
              <w:t xml:space="preserve">, Yann </w:t>
            </w:r>
            <w:proofErr w:type="spellStart"/>
            <w:r>
              <w:rPr>
                <w:sz w:val="20"/>
                <w:szCs w:val="20"/>
              </w:rPr>
              <w:t>Orain</w:t>
            </w:r>
            <w:proofErr w:type="spellEnd"/>
            <w:r>
              <w:rPr>
                <w:sz w:val="20"/>
                <w:szCs w:val="20"/>
              </w:rPr>
              <w:t xml:space="preserve">, </w:t>
            </w:r>
            <w:r w:rsidR="00BF4874">
              <w:rPr>
                <w:sz w:val="20"/>
                <w:szCs w:val="20"/>
              </w:rPr>
              <w:t xml:space="preserve">Julien Philippe, </w:t>
            </w:r>
            <w:r>
              <w:rPr>
                <w:sz w:val="20"/>
                <w:szCs w:val="20"/>
              </w:rPr>
              <w:t xml:space="preserve">Diego </w:t>
            </w:r>
            <w:proofErr w:type="spellStart"/>
            <w:r>
              <w:rPr>
                <w:sz w:val="20"/>
                <w:szCs w:val="20"/>
              </w:rPr>
              <w:t>Terront</w:t>
            </w:r>
            <w:proofErr w:type="spellEnd"/>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F46F99" w:rsidRDefault="00337620">
            <w:r>
              <w:t xml:space="preserve">Date : </w:t>
            </w:r>
          </w:p>
          <w:p w:rsidR="00F46F99" w:rsidRDefault="00BF4874">
            <w:r>
              <w:t>13/03</w:t>
            </w:r>
            <w:r w:rsidR="00337620">
              <w:t>/2019</w:t>
            </w:r>
          </w:p>
          <w:p w:rsidR="00F46F99" w:rsidRDefault="00F46F99"/>
        </w:tc>
      </w:tr>
    </w:tbl>
    <w:p w:rsidR="00F46F99" w:rsidRDefault="00F46F99"/>
    <w:p w:rsidR="00F46F99" w:rsidRDefault="00F46F99">
      <w:pPr>
        <w:rPr>
          <w:i/>
        </w:rPr>
      </w:pPr>
    </w:p>
    <w:p w:rsidR="00F46F99" w:rsidRDefault="00337620">
      <w:pPr>
        <w:rPr>
          <w:i/>
        </w:rPr>
      </w:pPr>
      <w:r>
        <w:rPr>
          <w:i/>
        </w:rPr>
        <w:t xml:space="preserve">Présents : </w:t>
      </w:r>
      <w:r>
        <w:rPr>
          <w:i/>
        </w:rPr>
        <w:tab/>
        <w:t xml:space="preserve"> Jacques </w:t>
      </w:r>
      <w:proofErr w:type="spellStart"/>
      <w:r>
        <w:rPr>
          <w:i/>
        </w:rPr>
        <w:t>Dumarchez</w:t>
      </w:r>
      <w:proofErr w:type="spellEnd"/>
      <w:r>
        <w:rPr>
          <w:i/>
        </w:rPr>
        <w:t>,</w:t>
      </w:r>
      <w:r w:rsidR="00BF4874">
        <w:rPr>
          <w:i/>
        </w:rPr>
        <w:t xml:space="preserve"> Claudio </w:t>
      </w:r>
      <w:proofErr w:type="spellStart"/>
      <w:r w:rsidR="00BF4874">
        <w:rPr>
          <w:i/>
        </w:rPr>
        <w:t>Giganti</w:t>
      </w:r>
      <w:proofErr w:type="spellEnd"/>
      <w:r w:rsidR="00BF4874">
        <w:rPr>
          <w:i/>
        </w:rPr>
        <w:t xml:space="preserve">, </w:t>
      </w:r>
    </w:p>
    <w:p w:rsidR="00F46F99" w:rsidRDefault="00337620">
      <w:pPr>
        <w:rPr>
          <w:i/>
        </w:rPr>
      </w:pPr>
      <w:r>
        <w:rPr>
          <w:i/>
        </w:rPr>
        <w:tab/>
      </w:r>
      <w:r>
        <w:rPr>
          <w:i/>
        </w:rPr>
        <w:tab/>
        <w:t xml:space="preserve">Jean-Marc </w:t>
      </w:r>
      <w:proofErr w:type="spellStart"/>
      <w:r>
        <w:rPr>
          <w:i/>
        </w:rPr>
        <w:t>Parraud</w:t>
      </w:r>
      <w:proofErr w:type="spellEnd"/>
      <w:r>
        <w:rPr>
          <w:i/>
        </w:rPr>
        <w:t xml:space="preserve">,  </w:t>
      </w:r>
      <w:proofErr w:type="spellStart"/>
      <w:r>
        <w:rPr>
          <w:i/>
        </w:rPr>
        <w:t>Eric</w:t>
      </w:r>
      <w:proofErr w:type="spellEnd"/>
      <w:r>
        <w:rPr>
          <w:i/>
        </w:rPr>
        <w:t xml:space="preserve"> Pierre, William </w:t>
      </w:r>
      <w:proofErr w:type="spellStart"/>
      <w:r>
        <w:rPr>
          <w:i/>
        </w:rPr>
        <w:t>Ceria</w:t>
      </w:r>
      <w:proofErr w:type="spellEnd"/>
      <w:r w:rsidR="00BF4874">
        <w:rPr>
          <w:i/>
        </w:rPr>
        <w:t xml:space="preserve">, Julien Philippe, Diego </w:t>
      </w:r>
      <w:proofErr w:type="spellStart"/>
      <w:r w:rsidR="00BF4874">
        <w:rPr>
          <w:i/>
        </w:rPr>
        <w:t>Terront</w:t>
      </w:r>
      <w:proofErr w:type="spellEnd"/>
    </w:p>
    <w:p w:rsidR="00F46F99" w:rsidRDefault="00337620">
      <w:pPr>
        <w:rPr>
          <w:i/>
        </w:rPr>
      </w:pPr>
      <w:r>
        <w:rPr>
          <w:i/>
        </w:rPr>
        <w:tab/>
      </w:r>
    </w:p>
    <w:p w:rsidR="00F46F99" w:rsidRDefault="00F46F99">
      <w:pPr>
        <w:rPr>
          <w:i/>
        </w:rPr>
      </w:pPr>
    </w:p>
    <w:p w:rsidR="00F46F99" w:rsidRDefault="00F46F99">
      <w:pPr>
        <w:rPr>
          <w:i/>
        </w:rPr>
      </w:pPr>
    </w:p>
    <w:p w:rsidR="00F46F99" w:rsidRDefault="00337620">
      <w:pPr>
        <w:pStyle w:val="Paragraphedeliste1"/>
        <w:numPr>
          <w:ilvl w:val="0"/>
          <w:numId w:val="1"/>
        </w:numPr>
        <w:jc w:val="both"/>
      </w:pPr>
      <w:r>
        <w:rPr>
          <w:sz w:val="24"/>
          <w:szCs w:val="24"/>
          <w:u w:val="single"/>
        </w:rPr>
        <w:t xml:space="preserve">Infos générales - </w:t>
      </w:r>
      <w:r w:rsidR="001600CF">
        <w:rPr>
          <w:sz w:val="24"/>
          <w:szCs w:val="24"/>
          <w:u w:val="single"/>
        </w:rPr>
        <w:t>Présentation pour la RSP-In2p3</w:t>
      </w:r>
      <w:r>
        <w:rPr>
          <w:sz w:val="24"/>
          <w:szCs w:val="24"/>
          <w:u w:val="single"/>
        </w:rPr>
        <w:t xml:space="preserve">  / </w:t>
      </w:r>
      <w:r w:rsidR="001600CF">
        <w:rPr>
          <w:sz w:val="24"/>
          <w:szCs w:val="24"/>
          <w:u w:val="single"/>
        </w:rPr>
        <w:t xml:space="preserve">J. </w:t>
      </w:r>
      <w:proofErr w:type="spellStart"/>
      <w:r w:rsidR="001600CF">
        <w:rPr>
          <w:sz w:val="24"/>
          <w:szCs w:val="24"/>
          <w:u w:val="single"/>
        </w:rPr>
        <w:t>Dumarchez</w:t>
      </w:r>
      <w:proofErr w:type="spellEnd"/>
      <w:r w:rsidR="001600CF">
        <w:rPr>
          <w:sz w:val="24"/>
          <w:szCs w:val="24"/>
          <w:u w:val="single"/>
        </w:rPr>
        <w:t xml:space="preserve"> - J-M. </w:t>
      </w:r>
      <w:proofErr w:type="spellStart"/>
      <w:r w:rsidR="001600CF">
        <w:rPr>
          <w:sz w:val="24"/>
          <w:szCs w:val="24"/>
          <w:u w:val="single"/>
        </w:rPr>
        <w:t>Parraud</w:t>
      </w:r>
      <w:proofErr w:type="spellEnd"/>
    </w:p>
    <w:p w:rsidR="00F46F99" w:rsidRDefault="00337620" w:rsidP="00B4386A">
      <w:pPr>
        <w:ind w:left="708"/>
        <w:jc w:val="both"/>
      </w:pPr>
      <w:r>
        <w:br/>
      </w:r>
      <w:r w:rsidR="00B4386A">
        <w:t>La RSP (Revue Synthétique de Projet) prévue initialement le 28 mars</w:t>
      </w:r>
      <w:r w:rsidR="00B143ED">
        <w:t xml:space="preserve"> </w:t>
      </w:r>
      <w:r w:rsidR="00DB5BD9">
        <w:t>sera</w:t>
      </w:r>
      <w:r w:rsidR="00B143ED">
        <w:t xml:space="preserve"> très </w:t>
      </w:r>
      <w:r w:rsidR="00DB5BD9">
        <w:t>certainement</w:t>
      </w:r>
      <w:r w:rsidR="00B143ED">
        <w:t xml:space="preserve"> reportée, faute de disponibilité des experts du comité de revue.</w:t>
      </w:r>
      <w:r w:rsidR="00DB5BD9">
        <w:t xml:space="preserve"> La date n’est pas définie, mais pourrait avoir lieu en avril.</w:t>
      </w:r>
    </w:p>
    <w:p w:rsidR="0070547F" w:rsidRDefault="00150AB1" w:rsidP="00B4386A">
      <w:pPr>
        <w:ind w:left="708"/>
        <w:jc w:val="both"/>
      </w:pPr>
      <w:r>
        <w:t>Explications de Jacques</w:t>
      </w:r>
      <w:r w:rsidR="00682284">
        <w:t xml:space="preserve"> et Jean-Marc</w:t>
      </w:r>
      <w:r w:rsidR="0070547F">
        <w:t xml:space="preserve">, notamment </w:t>
      </w:r>
      <w:r>
        <w:t xml:space="preserve">à l’attention de </w:t>
      </w:r>
      <w:r w:rsidR="0070547F">
        <w:t xml:space="preserve"> Julien nouvellement arrivé au LPNHE</w:t>
      </w:r>
      <w:r>
        <w:t xml:space="preserve"> pour remplacer William</w:t>
      </w:r>
      <w:r w:rsidR="0070547F">
        <w:t>,</w:t>
      </w:r>
      <w:r>
        <w:t xml:space="preserve"> sur</w:t>
      </w:r>
      <w:r w:rsidR="0070547F">
        <w:t xml:space="preserve"> les tenants et aboutissants de cette revue</w:t>
      </w:r>
      <w:r>
        <w:t xml:space="preserve"> à venir : présentation  commune (LLR-LPNHE) du projet d’upgrade du détecteur T2K au Japon, dans lequel ces 2 labos In2p3 </w:t>
      </w:r>
      <w:r w:rsidR="00E90FB2">
        <w:t xml:space="preserve">se </w:t>
      </w:r>
      <w:r>
        <w:t xml:space="preserve">sont engagés </w:t>
      </w:r>
      <w:r w:rsidR="00682284">
        <w:t>en collaboration avec</w:t>
      </w:r>
      <w:r>
        <w:t xml:space="preserve"> l’IRFU-CEA</w:t>
      </w:r>
      <w:r w:rsidR="00682284">
        <w:t>, pilote du projet côté français</w:t>
      </w:r>
      <w:r>
        <w:t xml:space="preserve">. </w:t>
      </w:r>
      <w:r w:rsidR="00E90FB2">
        <w:t xml:space="preserve">Un certain nombre de documents d’ordre organisationnel seront présentés par chacun des 2 labos pour la partie qui leur concerne. Une ébauche de ces documents est montrée aujourd’hui (répartition des tâches au sein de la collaboration, arborescences produits pour les livrables du LPNHE, arbres des tâches pour le LPNHE). Les ressources humaines et budgétaires </w:t>
      </w:r>
      <w:r w:rsidR="005D1C95">
        <w:t xml:space="preserve">à prévoir </w:t>
      </w:r>
      <w:r w:rsidR="00EE678F">
        <w:t xml:space="preserve">y </w:t>
      </w:r>
      <w:r w:rsidR="00E90FB2">
        <w:t>seront exposées</w:t>
      </w:r>
      <w:r w:rsidR="00EE678F">
        <w:t>.</w:t>
      </w:r>
      <w:r w:rsidR="007F6FEB">
        <w:t> </w:t>
      </w:r>
      <w:r w:rsidR="00EE678F">
        <w:t xml:space="preserve">Les prévisions </w:t>
      </w:r>
      <w:r w:rsidR="00D34AC8">
        <w:t xml:space="preserve">globales </w:t>
      </w:r>
      <w:r w:rsidR="00EE678F">
        <w:t>RH sont de 2,5 ETP en physiciens et 2,0 ETP en ITA (pour le LPNHE) jusqu’en 2022. Conce</w:t>
      </w:r>
      <w:r w:rsidR="008F3968">
        <w:t>rnant le financement</w:t>
      </w:r>
      <w:r w:rsidR="00EE678F">
        <w:t xml:space="preserve">, l’In2p3 </w:t>
      </w:r>
      <w:r w:rsidR="008F3968">
        <w:t xml:space="preserve">a prévu d’allouer une enveloppe globale de 400 k€ à répartir entre le LLR et le LPNHE </w:t>
      </w:r>
      <w:r w:rsidR="00682284">
        <w:t>jusqu’en 2022</w:t>
      </w:r>
      <w:r w:rsidR="008F3968">
        <w:t>. Le LPNHE demandera donc vraisemblablement la répartition suivante : 60 k€ pour 2019, 60 k€ pour 2020, 6</w:t>
      </w:r>
      <w:r w:rsidR="00D34AC8">
        <w:t>0 k€ pour 2021, 20 k€ pour 2022, afin de respecter un budget « plat » de 2019 à 2021.</w:t>
      </w:r>
    </w:p>
    <w:p w:rsidR="00F46F99" w:rsidRDefault="005D1C95">
      <w:pPr>
        <w:ind w:left="708"/>
        <w:jc w:val="both"/>
      </w:pPr>
      <w:r>
        <w:t xml:space="preserve">Une prévision de planning de déroulement du projet, ainsi qu’un tableau de recensement des risques pouvant </w:t>
      </w:r>
      <w:r w:rsidR="00634651">
        <w:t>impacter</w:t>
      </w:r>
      <w:r>
        <w:t xml:space="preserve"> l’avancement du projet seront </w:t>
      </w:r>
      <w:r w:rsidR="00D34AC8">
        <w:t>exposé</w:t>
      </w:r>
      <w:r>
        <w:t>s.</w:t>
      </w:r>
      <w:r w:rsidR="00D34AC8">
        <w:t xml:space="preserve"> L’ébauche de ces documents concerne actuellement l’étude et la production des cartes électroniques FEC. Il faudra faire de même pour l’étude </w:t>
      </w:r>
      <w:r w:rsidR="00F35A90">
        <w:t xml:space="preserve">et la production des pièces </w:t>
      </w:r>
      <w:r w:rsidR="00682284">
        <w:t>destinées à</w:t>
      </w:r>
      <w:r w:rsidR="00F35A90">
        <w:t xml:space="preserve"> la modification mécanique du système de suspension des TPC</w:t>
      </w:r>
      <w:r w:rsidR="00551844">
        <w:t>, ainsi que pour la participation au soft du système d’acquisition (DAQ).</w:t>
      </w:r>
    </w:p>
    <w:p w:rsidR="005D1C95" w:rsidRDefault="005D1C95">
      <w:pPr>
        <w:ind w:left="708"/>
        <w:jc w:val="both"/>
      </w:pPr>
    </w:p>
    <w:p w:rsidR="00F46F99" w:rsidRDefault="00337620">
      <w:pPr>
        <w:pStyle w:val="Paragraphedeliste1"/>
        <w:numPr>
          <w:ilvl w:val="0"/>
          <w:numId w:val="1"/>
        </w:numPr>
        <w:jc w:val="both"/>
        <w:rPr>
          <w:u w:val="single"/>
        </w:rPr>
      </w:pPr>
      <w:r>
        <w:rPr>
          <w:sz w:val="24"/>
          <w:szCs w:val="24"/>
          <w:u w:val="single"/>
        </w:rPr>
        <w:t xml:space="preserve">Contribution du LPNHE - mécanique / William </w:t>
      </w:r>
      <w:proofErr w:type="spellStart"/>
      <w:r>
        <w:rPr>
          <w:sz w:val="24"/>
          <w:szCs w:val="24"/>
          <w:u w:val="single"/>
        </w:rPr>
        <w:t>Ceria</w:t>
      </w:r>
      <w:proofErr w:type="spellEnd"/>
    </w:p>
    <w:p w:rsidR="00F46F99" w:rsidRDefault="00F46F99">
      <w:pPr>
        <w:jc w:val="both"/>
        <w:rPr>
          <w:u w:val="single"/>
        </w:rPr>
      </w:pPr>
    </w:p>
    <w:p w:rsidR="00F46F99" w:rsidRDefault="00834D6B">
      <w:pPr>
        <w:ind w:left="708"/>
        <w:jc w:val="both"/>
      </w:pPr>
      <w:r>
        <w:t>Comme</w:t>
      </w:r>
      <w:r w:rsidR="001577DC">
        <w:t xml:space="preserve"> mentionné </w:t>
      </w:r>
      <w:r>
        <w:t xml:space="preserve">lors de la précédente réunion, </w:t>
      </w:r>
      <w:r w:rsidR="001577DC">
        <w:t>l’étude</w:t>
      </w:r>
      <w:r>
        <w:t xml:space="preserve"> du sous-détecteur SFGD </w:t>
      </w:r>
      <w:r w:rsidR="001577DC">
        <w:t>occupe un volume légèrement trop important</w:t>
      </w:r>
      <w:r>
        <w:t> : il est don</w:t>
      </w:r>
      <w:r w:rsidR="00F071B3">
        <w:t>c envisagé de réduire une des</w:t>
      </w:r>
      <w:r>
        <w:t xml:space="preserve"> cotes de 8 cm</w:t>
      </w:r>
      <w:r w:rsidR="001577DC">
        <w:t xml:space="preserve"> afin de pouvoir loger Le SFGD et les TPC dans le système de suspension. Cette proposition devra être faite à Franck </w:t>
      </w:r>
      <w:proofErr w:type="spellStart"/>
      <w:r w:rsidR="001577DC">
        <w:t>Cadoux</w:t>
      </w:r>
      <w:proofErr w:type="spellEnd"/>
      <w:r w:rsidR="001577DC">
        <w:t xml:space="preserve"> dans les jours à venir (William </w:t>
      </w:r>
      <w:proofErr w:type="spellStart"/>
      <w:r w:rsidR="001577DC">
        <w:t>Ceria</w:t>
      </w:r>
      <w:proofErr w:type="spellEnd"/>
      <w:r w:rsidR="001577DC">
        <w:t xml:space="preserve"> et Julien Philippe).</w:t>
      </w:r>
    </w:p>
    <w:p w:rsidR="001577DC" w:rsidRDefault="001577DC">
      <w:pPr>
        <w:ind w:left="708"/>
        <w:jc w:val="both"/>
      </w:pPr>
    </w:p>
    <w:p w:rsidR="00F46F99" w:rsidRDefault="001577DC">
      <w:pPr>
        <w:ind w:left="708"/>
        <w:jc w:val="both"/>
      </w:pPr>
      <w:r>
        <w:t>La transition entre William et Julien est en cours et semble en bonne voie. Le</w:t>
      </w:r>
      <w:r w:rsidR="003B4552">
        <w:t xml:space="preserve"> départ de William du LPNHE, pour rappel, est prévu pour fin mars.</w:t>
      </w:r>
    </w:p>
    <w:p w:rsidR="00F46F99" w:rsidRDefault="00F46F99">
      <w:pPr>
        <w:ind w:left="708"/>
        <w:jc w:val="both"/>
      </w:pPr>
    </w:p>
    <w:p w:rsidR="00F46F99" w:rsidRDefault="00F46F99">
      <w:pPr>
        <w:ind w:left="708"/>
        <w:jc w:val="both"/>
      </w:pPr>
    </w:p>
    <w:p w:rsidR="00F46F99" w:rsidRDefault="00337620">
      <w:pPr>
        <w:pStyle w:val="Paragraphedeliste1"/>
        <w:numPr>
          <w:ilvl w:val="0"/>
          <w:numId w:val="1"/>
        </w:numPr>
        <w:jc w:val="both"/>
      </w:pPr>
      <w:r>
        <w:rPr>
          <w:sz w:val="24"/>
          <w:szCs w:val="24"/>
          <w:u w:val="single"/>
        </w:rPr>
        <w:lastRenderedPageBreak/>
        <w:t xml:space="preserve">Contribution du LPNHE - électronique / Jean-Marc </w:t>
      </w:r>
      <w:proofErr w:type="spellStart"/>
      <w:r>
        <w:rPr>
          <w:sz w:val="24"/>
          <w:szCs w:val="24"/>
          <w:u w:val="single"/>
        </w:rPr>
        <w:t>Parraud</w:t>
      </w:r>
      <w:proofErr w:type="spellEnd"/>
    </w:p>
    <w:p w:rsidR="00F46F99" w:rsidRDefault="00F46F99">
      <w:pPr>
        <w:jc w:val="both"/>
      </w:pPr>
    </w:p>
    <w:p w:rsidR="00F46F99" w:rsidRDefault="00743048">
      <w:pPr>
        <w:ind w:left="708"/>
        <w:jc w:val="both"/>
      </w:pPr>
      <w:r>
        <w:t xml:space="preserve">Des tests ont été effectués (Jean-Marc) sur la première version de la maquette FEC, le 21 février à l’IRFU-Saclay, avec Denis Calvet. Cette carte ne comportait plus que 2 des 8 connecteurs de liaison avec les cartes d’acquisition, les autres ayant été retirés à cause du décalage au placement-routage. Cela a quand même permis de tester 144 voies sur le banc de test de l’IRFU. Des mesures de niveaux de bruit comparatifs (sans carte FEC-maquette / avec carte FEC-maquette connectée) ont </w:t>
      </w:r>
      <w:r w:rsidR="00400214">
        <w:t>permis de valider</w:t>
      </w:r>
      <w:r>
        <w:t xml:space="preserve"> </w:t>
      </w:r>
      <w:r w:rsidR="00AC3925">
        <w:t xml:space="preserve">les 144 voies : </w:t>
      </w:r>
      <w:r w:rsidR="00400214">
        <w:t>correctement connectées + pas de voies en court-circuit.</w:t>
      </w:r>
    </w:p>
    <w:p w:rsidR="00400214" w:rsidRDefault="00400214">
      <w:pPr>
        <w:ind w:left="708"/>
        <w:jc w:val="both"/>
      </w:pPr>
      <w:r>
        <w:t>L’entrevue a permis d’avancer sur la définition des signaux qui transiteront entre les cartes FEC et les cartes FEM dont l’</w:t>
      </w:r>
      <w:r w:rsidR="00AC3925">
        <w:t>IRFU a la charge, en vue de l’étude des prototypes de ces cartes.</w:t>
      </w:r>
    </w:p>
    <w:p w:rsidR="00400214" w:rsidRDefault="00400214">
      <w:pPr>
        <w:ind w:left="708"/>
        <w:jc w:val="both"/>
      </w:pPr>
    </w:p>
    <w:p w:rsidR="00400214" w:rsidRDefault="00400214">
      <w:pPr>
        <w:ind w:left="708"/>
        <w:jc w:val="both"/>
      </w:pPr>
      <w:r>
        <w:t xml:space="preserve">La version 2 de la carte maquette FEC (connecteurs repositionnés) a été routée en février, et lancée en fabrication chez </w:t>
      </w:r>
      <w:proofErr w:type="spellStart"/>
      <w:r>
        <w:t>Ouestronic</w:t>
      </w:r>
      <w:proofErr w:type="spellEnd"/>
      <w:r>
        <w:t xml:space="preserve"> suite à la demande de Denis Calvet. Ces cartes (quantité 3) sont prévues pour réception au LPNHE fin mars.</w:t>
      </w:r>
    </w:p>
    <w:p w:rsidR="00E040B3" w:rsidRDefault="00E040B3">
      <w:pPr>
        <w:ind w:left="708"/>
        <w:jc w:val="both"/>
      </w:pPr>
    </w:p>
    <w:p w:rsidR="00F46F99" w:rsidRDefault="00F46F99">
      <w:pPr>
        <w:ind w:left="708"/>
        <w:jc w:val="both"/>
      </w:pPr>
    </w:p>
    <w:p w:rsidR="00F46F99" w:rsidRDefault="00337620">
      <w:pPr>
        <w:pStyle w:val="Paragraphedeliste1"/>
        <w:numPr>
          <w:ilvl w:val="0"/>
          <w:numId w:val="1"/>
        </w:numPr>
        <w:jc w:val="both"/>
        <w:rPr>
          <w:u w:val="single"/>
        </w:rPr>
      </w:pPr>
      <w:r>
        <w:rPr>
          <w:sz w:val="24"/>
          <w:szCs w:val="24"/>
          <w:u w:val="single"/>
        </w:rPr>
        <w:t>AOB</w:t>
      </w:r>
    </w:p>
    <w:p w:rsidR="00F46F99" w:rsidRDefault="00F46F99">
      <w:pPr>
        <w:jc w:val="both"/>
        <w:rPr>
          <w:u w:val="single"/>
        </w:rPr>
      </w:pPr>
    </w:p>
    <w:p w:rsidR="00F46F99" w:rsidRDefault="00AC3925">
      <w:pPr>
        <w:ind w:left="708"/>
        <w:jc w:val="both"/>
      </w:pPr>
      <w:r>
        <w:t>Diego, suite à la réception de la carte d’évaluation, a effectué quelques tests</w:t>
      </w:r>
      <w:r w:rsidR="00313519">
        <w:t xml:space="preserve"> préliminaires sur le Linux embarqué. Des tests complémentaires suivront ultérieurement.</w:t>
      </w:r>
    </w:p>
    <w:p w:rsidR="00313519" w:rsidRDefault="00313519">
      <w:pPr>
        <w:ind w:left="708"/>
        <w:jc w:val="both"/>
      </w:pPr>
    </w:p>
    <w:p w:rsidR="00313519" w:rsidRDefault="00182EAA">
      <w:pPr>
        <w:ind w:left="708"/>
        <w:jc w:val="both"/>
      </w:pPr>
      <w:r>
        <w:t>Pour la R&amp;D du projet à venir Hyper-</w:t>
      </w:r>
      <w:proofErr w:type="spellStart"/>
      <w:r>
        <w:t>Kamiokande</w:t>
      </w:r>
      <w:proofErr w:type="spellEnd"/>
      <w:r>
        <w:t xml:space="preserve">, </w:t>
      </w:r>
      <w:r w:rsidR="00313519">
        <w:t xml:space="preserve">Claudio </w:t>
      </w:r>
      <w:r>
        <w:t xml:space="preserve">propose la contribution suivante : étudier un système support de module-photomultiplicateurs (module développé à l’INFN) pour pouvoir tester </w:t>
      </w:r>
      <w:r w:rsidR="00BC49EB">
        <w:t>c</w:t>
      </w:r>
      <w:r>
        <w:t xml:space="preserve">e module à l’APC à partir de mai 2019. Ces tests se feraient </w:t>
      </w:r>
      <w:r w:rsidR="00173E72">
        <w:t>avec</w:t>
      </w:r>
      <w:r>
        <w:t xml:space="preserve"> leur banc </w:t>
      </w:r>
      <w:r w:rsidR="00173E72">
        <w:t xml:space="preserve">existant </w:t>
      </w:r>
      <w:r>
        <w:t>« </w:t>
      </w:r>
      <w:proofErr w:type="spellStart"/>
      <w:r>
        <w:t>Memphyno</w:t>
      </w:r>
      <w:proofErr w:type="spellEnd"/>
      <w:r w:rsidR="00173E72">
        <w:t> », grand réservoir d’eau de 2m x 2m x 2m. Le module est de forme sphérique de diamètre 50 cm, pesant de 10 à 20 kg. Le support devra pouvoir être motorisé pour le positionnement du module-photomultiplicateurs.</w:t>
      </w:r>
    </w:p>
    <w:p w:rsidR="00173E72" w:rsidRDefault="00BC49EB">
      <w:pPr>
        <w:ind w:left="708"/>
        <w:jc w:val="both"/>
      </w:pPr>
      <w:r>
        <w:t>Bien que la disponibilité d’un mécanicien semble possible, il est répondu à Claudio que le mieux est d’en faire la demande au responsable du service mécanique.</w:t>
      </w:r>
    </w:p>
    <w:p w:rsidR="00F46F99" w:rsidRDefault="00F46F99">
      <w:pPr>
        <w:jc w:val="both"/>
      </w:pPr>
    </w:p>
    <w:p w:rsidR="00337620" w:rsidRDefault="00337620">
      <w:pPr>
        <w:ind w:left="708"/>
        <w:jc w:val="both"/>
      </w:pPr>
      <w:r>
        <w:t xml:space="preserve">La prochaine réunion interne est fixée </w:t>
      </w:r>
      <w:r w:rsidR="00BC49EB">
        <w:t xml:space="preserve">sous réserve </w:t>
      </w:r>
      <w:r>
        <w:t xml:space="preserve">au mardi </w:t>
      </w:r>
      <w:r w:rsidR="00BC49EB">
        <w:t>09 avril</w:t>
      </w:r>
      <w:r>
        <w:t xml:space="preserve"> 2019.</w:t>
      </w:r>
      <w:r w:rsidR="00BC49EB">
        <w:t xml:space="preserve"> Cette date sera à confirmer.</w:t>
      </w:r>
      <w:bookmarkStart w:id="0" w:name="_GoBack"/>
      <w:bookmarkEnd w:id="0"/>
    </w:p>
    <w:sectPr w:rsidR="00337620">
      <w:pgSz w:w="11906" w:h="16838"/>
      <w:pgMar w:top="1417" w:right="1417" w:bottom="1417" w:left="1417"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4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CR A Extended">
    <w:panose1 w:val="02010509020102010303"/>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upperRoman"/>
      <w:lvlText w:val="%1."/>
      <w:lvlJc w:val="righ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F8A"/>
    <w:rsid w:val="00150AB1"/>
    <w:rsid w:val="001577DC"/>
    <w:rsid w:val="001600CF"/>
    <w:rsid w:val="00173E72"/>
    <w:rsid w:val="00182EAA"/>
    <w:rsid w:val="00313519"/>
    <w:rsid w:val="00337620"/>
    <w:rsid w:val="003B4552"/>
    <w:rsid w:val="00400214"/>
    <w:rsid w:val="00551844"/>
    <w:rsid w:val="005D1C95"/>
    <w:rsid w:val="00634651"/>
    <w:rsid w:val="00654A7D"/>
    <w:rsid w:val="00682284"/>
    <w:rsid w:val="0070547F"/>
    <w:rsid w:val="00743048"/>
    <w:rsid w:val="007F6FEB"/>
    <w:rsid w:val="00834D6B"/>
    <w:rsid w:val="008F3968"/>
    <w:rsid w:val="00AC3925"/>
    <w:rsid w:val="00B143ED"/>
    <w:rsid w:val="00B4386A"/>
    <w:rsid w:val="00B70F8A"/>
    <w:rsid w:val="00BC49EB"/>
    <w:rsid w:val="00BF4874"/>
    <w:rsid w:val="00D34AC8"/>
    <w:rsid w:val="00DB5BD9"/>
    <w:rsid w:val="00DC55D1"/>
    <w:rsid w:val="00E040B3"/>
    <w:rsid w:val="00E90FB2"/>
    <w:rsid w:val="00EE678F"/>
    <w:rsid w:val="00F071B3"/>
    <w:rsid w:val="00F35A90"/>
    <w:rsid w:val="00F46F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ascii="Calibri" w:eastAsia="SimSun" w:hAnsi="Calibri" w:cs="font348"/>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1">
    <w:name w:val="Police par défaut1"/>
  </w:style>
  <w:style w:type="character" w:customStyle="1" w:styleId="TextedebullesCar">
    <w:name w:val="Texte de bulles Car"/>
    <w:rPr>
      <w:rFonts w:ascii="Tahoma" w:hAnsi="Tahoma" w:cs="Tahoma"/>
      <w:sz w:val="16"/>
      <w:szCs w:val="16"/>
    </w:rPr>
  </w:style>
  <w:style w:type="character" w:customStyle="1" w:styleId="ListLabel1">
    <w:name w:val="ListLabel 1"/>
    <w:rPr>
      <w:rFonts w:cs="Courier New"/>
    </w:rPr>
  </w:style>
  <w:style w:type="character" w:customStyle="1" w:styleId="ListLabel2">
    <w:name w:val="ListLabel 2"/>
    <w:rPr>
      <w:rFonts w:cs="font348"/>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Paragraphedeliste1">
    <w:name w:val="Paragraphe de liste1"/>
    <w:basedOn w:val="Normal"/>
    <w:pPr>
      <w:ind w:left="720"/>
    </w:pPr>
  </w:style>
  <w:style w:type="paragraph" w:customStyle="1" w:styleId="Textedebulles1">
    <w:name w:val="Texte de bulles1"/>
    <w:basedOn w:val="Normal"/>
    <w:rPr>
      <w:rFonts w:ascii="Tahoma" w:hAnsi="Tahoma" w:cs="Tahoma"/>
      <w:sz w:val="16"/>
      <w:szCs w:val="16"/>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2</Pages>
  <Words>764</Words>
  <Characters>4208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lavergne</dc:creator>
  <cp:lastModifiedBy>Jean-Marc Parraud</cp:lastModifiedBy>
  <cp:revision>13</cp:revision>
  <cp:lastPrinted>1900-12-31T23:00:00Z</cp:lastPrinted>
  <dcterms:created xsi:type="dcterms:W3CDTF">2019-03-12T16:56:00Z</dcterms:created>
  <dcterms:modified xsi:type="dcterms:W3CDTF">2019-03-13T17:12:00Z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