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B5" w:rsidRDefault="000109B8" w:rsidP="005A5D09">
      <w:pPr>
        <w:jc w:val="both"/>
      </w:pPr>
      <w:r>
        <w:t>Etude de la contamination de la croute du plomb par le radon</w:t>
      </w:r>
    </w:p>
    <w:p w:rsidR="000109B8" w:rsidRDefault="000109B8" w:rsidP="005A5D09">
      <w:pPr>
        <w:jc w:val="both"/>
      </w:pPr>
      <w:r>
        <w:t>Tout d’abords les résultats bruts</w:t>
      </w:r>
    </w:p>
    <w:p w:rsidR="000109B8" w:rsidRDefault="000109B8" w:rsidP="005A5D09">
      <w:pPr>
        <w:jc w:val="both"/>
      </w:pPr>
      <w:r>
        <w:t>Temps 529000s</w:t>
      </w:r>
      <w:r w:rsidR="005A5D09">
        <w:t xml:space="preserve"> Poids 23.96g</w:t>
      </w:r>
    </w:p>
    <w:p w:rsidR="000109B8" w:rsidRDefault="000109B8" w:rsidP="005A5D09">
      <w:pPr>
        <w:jc w:val="both"/>
      </w:pPr>
      <w:r>
        <w:t>Mesures brutes</w:t>
      </w:r>
    </w:p>
    <w:tbl>
      <w:tblPr>
        <w:tblW w:w="4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380"/>
      </w:tblGrid>
      <w:tr w:rsidR="000109B8" w:rsidRPr="000109B8" w:rsidTr="000109B8">
        <w:trPr>
          <w:trHeight w:val="264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109B8" w:rsidRPr="000109B8" w:rsidRDefault="000109B8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0109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bdf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109B8" w:rsidRPr="000109B8" w:rsidRDefault="000109B8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09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pic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0109B8" w:rsidRPr="000109B8" w:rsidRDefault="000109B8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0109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bdf</w:t>
            </w:r>
            <w:proofErr w:type="spellEnd"/>
          </w:p>
        </w:tc>
      </w:tr>
      <w:tr w:rsidR="000109B8" w:rsidRPr="000109B8" w:rsidTr="000109B8">
        <w:trPr>
          <w:trHeight w:val="27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109B8" w:rsidRPr="000109B8" w:rsidRDefault="000109B8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09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gauche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109B8" w:rsidRPr="000109B8" w:rsidRDefault="000109B8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0109B8" w:rsidRPr="000109B8" w:rsidRDefault="000109B8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09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</w:t>
            </w:r>
          </w:p>
        </w:tc>
      </w:tr>
      <w:tr w:rsidR="000109B8" w:rsidRPr="000109B8" w:rsidTr="000109B8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9B8" w:rsidRPr="000109B8" w:rsidRDefault="000109B8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6A6A6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9B8" w:rsidRPr="000109B8" w:rsidRDefault="000109B8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6A6A6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9B8" w:rsidRPr="000109B8" w:rsidRDefault="000109B8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6A6A6"/>
                <w:lang w:eastAsia="fr-FR"/>
              </w:rPr>
            </w:pPr>
          </w:p>
        </w:tc>
      </w:tr>
      <w:tr w:rsidR="000109B8" w:rsidRPr="000109B8" w:rsidTr="000109B8">
        <w:trPr>
          <w:trHeight w:val="264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109B8" w:rsidRPr="000109B8" w:rsidRDefault="000109B8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09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451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109B8" w:rsidRPr="000109B8" w:rsidRDefault="000109B8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09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533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109B8" w:rsidRPr="000109B8" w:rsidRDefault="000109B8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09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460</w:t>
            </w:r>
          </w:p>
        </w:tc>
      </w:tr>
    </w:tbl>
    <w:p w:rsidR="000109B8" w:rsidRDefault="000109B8" w:rsidP="005A5D09">
      <w:pPr>
        <w:jc w:val="both"/>
      </w:pPr>
    </w:p>
    <w:p w:rsidR="000109B8" w:rsidRDefault="000109B8" w:rsidP="005A5D09">
      <w:pPr>
        <w:jc w:val="both"/>
      </w:pPr>
      <w:r>
        <w:t>J’ai donné mes résultats précédent</w:t>
      </w:r>
      <w:r w:rsidR="004066D9">
        <w:t>s</w:t>
      </w:r>
      <w:r>
        <w:t xml:space="preserve"> en Bq/kg. A partir de ces valeurs brutes j’ai une mesure vraie toujours liée à mon calcul de rendement</w:t>
      </w:r>
      <w:r w:rsidR="004066D9">
        <w:t>.</w:t>
      </w:r>
    </w:p>
    <w:p w:rsidR="004066D9" w:rsidRDefault="004066D9" w:rsidP="005A5D09">
      <w:pPr>
        <w:jc w:val="both"/>
      </w:pPr>
      <w:r>
        <w:t>Eau</w:t>
      </w:r>
    </w:p>
    <w:tbl>
      <w:tblPr>
        <w:tblW w:w="49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763"/>
        <w:gridCol w:w="1380"/>
        <w:gridCol w:w="1380"/>
      </w:tblGrid>
      <w:tr w:rsidR="004066D9" w:rsidRPr="004066D9" w:rsidTr="004066D9">
        <w:trPr>
          <w:trHeight w:val="264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66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vAlign w:val="bottom"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66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LD</w:t>
            </w:r>
          </w:p>
        </w:tc>
      </w:tr>
      <w:tr w:rsidR="004066D9" w:rsidRPr="004066D9" w:rsidTr="004066D9">
        <w:trPr>
          <w:trHeight w:val="27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66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/Bq.kg-1</w:t>
            </w:r>
          </w:p>
        </w:tc>
        <w:tc>
          <w:tcPr>
            <w:tcW w:w="0" w:type="auto"/>
            <w:vAlign w:val="bottom"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66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Bq/kg</w:t>
            </w:r>
          </w:p>
        </w:tc>
      </w:tr>
      <w:tr w:rsidR="004066D9" w:rsidRPr="004066D9" w:rsidTr="004066D9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6A6A6"/>
                <w:lang w:eastAsia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6A6A6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6A6A6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066D9" w:rsidRPr="004066D9" w:rsidTr="004066D9">
        <w:trPr>
          <w:trHeight w:val="264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66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7,22E-01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66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±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66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2,92E-01</w:t>
            </w:r>
          </w:p>
        </w:tc>
        <w:tc>
          <w:tcPr>
            <w:tcW w:w="0" w:type="auto"/>
            <w:vAlign w:val="bottom"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66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5,97E-01</w:t>
            </w:r>
          </w:p>
        </w:tc>
      </w:tr>
    </w:tbl>
    <w:p w:rsidR="004066D9" w:rsidRDefault="004066D9" w:rsidP="005A5D09">
      <w:pPr>
        <w:jc w:val="both"/>
      </w:pPr>
    </w:p>
    <w:p w:rsidR="004066D9" w:rsidRDefault="004066D9" w:rsidP="005A5D09">
      <w:pPr>
        <w:jc w:val="both"/>
      </w:pPr>
      <w:r>
        <w:t>Plomb</w:t>
      </w:r>
    </w:p>
    <w:tbl>
      <w:tblPr>
        <w:tblW w:w="49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763"/>
        <w:gridCol w:w="1380"/>
        <w:gridCol w:w="1380"/>
      </w:tblGrid>
      <w:tr w:rsidR="004066D9" w:rsidRPr="004066D9" w:rsidTr="004066D9">
        <w:trPr>
          <w:trHeight w:val="264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66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vAlign w:val="bottom"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66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LD</w:t>
            </w:r>
          </w:p>
        </w:tc>
      </w:tr>
      <w:tr w:rsidR="004066D9" w:rsidRPr="004066D9" w:rsidTr="004066D9">
        <w:trPr>
          <w:trHeight w:val="27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66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Bq.kg-1</w:t>
            </w:r>
          </w:p>
        </w:tc>
        <w:tc>
          <w:tcPr>
            <w:tcW w:w="0" w:type="auto"/>
            <w:vAlign w:val="bottom"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66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Bq/kg</w:t>
            </w:r>
          </w:p>
        </w:tc>
      </w:tr>
      <w:tr w:rsidR="004066D9" w:rsidRPr="004066D9" w:rsidTr="004066D9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6A6A6"/>
                <w:lang w:eastAsia="fr-FR"/>
              </w:rPr>
            </w:pPr>
            <w:r w:rsidRPr="004066D9">
              <w:rPr>
                <w:rFonts w:ascii="Arial" w:eastAsia="Times New Roman" w:hAnsi="Arial" w:cs="Arial"/>
                <w:color w:val="A6A6A6"/>
                <w:lang w:eastAsia="fr-FR"/>
              </w:rPr>
              <w:t>A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6A6A6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6A6A6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4066D9" w:rsidRDefault="004066D9" w:rsidP="005A5D09">
            <w:pPr>
              <w:jc w:val="both"/>
              <w:rPr>
                <w:rFonts w:ascii="Arial" w:hAnsi="Arial" w:cs="Arial"/>
                <w:color w:val="A6A6A6"/>
              </w:rPr>
            </w:pPr>
          </w:p>
        </w:tc>
      </w:tr>
      <w:tr w:rsidR="004066D9" w:rsidRPr="004066D9" w:rsidTr="004066D9">
        <w:trPr>
          <w:trHeight w:val="264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66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4,09E+00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66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±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66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1,66E+00</w:t>
            </w:r>
          </w:p>
        </w:tc>
        <w:tc>
          <w:tcPr>
            <w:tcW w:w="0" w:type="auto"/>
            <w:vAlign w:val="bottom"/>
          </w:tcPr>
          <w:p w:rsidR="004066D9" w:rsidRPr="004066D9" w:rsidRDefault="004066D9" w:rsidP="005A5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66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3,39E+00</w:t>
            </w:r>
          </w:p>
        </w:tc>
      </w:tr>
    </w:tbl>
    <w:p w:rsidR="000109B8" w:rsidRDefault="000109B8" w:rsidP="005A5D09">
      <w:pPr>
        <w:jc w:val="both"/>
      </w:pPr>
    </w:p>
    <w:p w:rsidR="004066D9" w:rsidRPr="005A5D09" w:rsidRDefault="004066D9" w:rsidP="005A5D09">
      <w:pPr>
        <w:tabs>
          <w:tab w:val="center" w:pos="4536"/>
        </w:tabs>
        <w:jc w:val="both"/>
        <w:rPr>
          <w:sz w:val="28"/>
          <w:szCs w:val="28"/>
        </w:rPr>
      </w:pPr>
      <w:r w:rsidRPr="005A5D09">
        <w:rPr>
          <w:sz w:val="28"/>
          <w:szCs w:val="28"/>
        </w:rPr>
        <w:t>L’activité de l’échantillon est entre 1.7mBq-9.8mBq</w:t>
      </w:r>
    </w:p>
    <w:p w:rsidR="004066D9" w:rsidRPr="005A5D09" w:rsidRDefault="004066D9" w:rsidP="005A5D09">
      <w:pPr>
        <w:jc w:val="both"/>
        <w:rPr>
          <w:sz w:val="28"/>
          <w:szCs w:val="28"/>
        </w:rPr>
      </w:pPr>
      <w:r w:rsidRPr="005A5D09">
        <w:rPr>
          <w:sz w:val="28"/>
          <w:szCs w:val="28"/>
        </w:rPr>
        <w:t>Cette activité est ne doit pas être normalisée 50cm2. En fait j’ai tapé au burin sur les face</w:t>
      </w:r>
      <w:r w:rsidR="005A5D09" w:rsidRPr="005A5D09">
        <w:rPr>
          <w:sz w:val="28"/>
          <w:szCs w:val="28"/>
        </w:rPr>
        <w:t>s</w:t>
      </w:r>
      <w:r w:rsidRPr="005A5D09">
        <w:rPr>
          <w:sz w:val="28"/>
          <w:szCs w:val="28"/>
        </w:rPr>
        <w:t xml:space="preserve"> verticale</w:t>
      </w:r>
      <w:r w:rsidR="005A5D09" w:rsidRPr="005A5D09">
        <w:rPr>
          <w:sz w:val="28"/>
          <w:szCs w:val="28"/>
        </w:rPr>
        <w:t>s</w:t>
      </w:r>
      <w:r w:rsidRPr="005A5D09">
        <w:rPr>
          <w:sz w:val="28"/>
          <w:szCs w:val="28"/>
        </w:rPr>
        <w:t xml:space="preserve"> de ma brique de la salle de réunion du labo. </w:t>
      </w:r>
      <w:r w:rsidR="005A5D09" w:rsidRPr="005A5D09">
        <w:rPr>
          <w:sz w:val="28"/>
          <w:szCs w:val="28"/>
        </w:rPr>
        <w:t xml:space="preserve">Ces faces </w:t>
      </w:r>
      <w:r w:rsidRPr="005A5D09">
        <w:rPr>
          <w:sz w:val="28"/>
          <w:szCs w:val="28"/>
        </w:rPr>
        <w:t>mesure</w:t>
      </w:r>
      <w:r w:rsidR="005A5D09" w:rsidRPr="005A5D09">
        <w:rPr>
          <w:sz w:val="28"/>
          <w:szCs w:val="28"/>
        </w:rPr>
        <w:t xml:space="preserve">nt 1590cm2. Par contre les morceaux recueillis ne sont pas homogènes il y a une grosse dispersion de la granulométrie allant de </w:t>
      </w:r>
      <w:r w:rsidR="005A5D09">
        <w:rPr>
          <w:sz w:val="28"/>
          <w:szCs w:val="28"/>
        </w:rPr>
        <w:t xml:space="preserve">la poudre aux éclats de 0.5mm d’épaisseur. Lors de mon burinage de la brique j’en </w:t>
      </w:r>
      <w:proofErr w:type="gramStart"/>
      <w:r w:rsidR="005A5D09">
        <w:rPr>
          <w:sz w:val="28"/>
          <w:szCs w:val="28"/>
        </w:rPr>
        <w:t>perd</w:t>
      </w:r>
      <w:proofErr w:type="gramEnd"/>
      <w:r w:rsidR="005A5D09">
        <w:rPr>
          <w:sz w:val="28"/>
          <w:szCs w:val="28"/>
        </w:rPr>
        <w:t xml:space="preserve"> une certaine quantité que je ne maitrise pas à mon avis on récupère entre 50 et 10% de la frappe. Tout ça pour appuyer le fait que je ne peux pas garantir une profondeur constante. La brique est bosselée ; mécaniqueme</w:t>
      </w:r>
      <w:r w:rsidR="0095420C">
        <w:rPr>
          <w:sz w:val="28"/>
          <w:szCs w:val="28"/>
        </w:rPr>
        <w:t>n</w:t>
      </w:r>
      <w:bookmarkStart w:id="0" w:name="_GoBack"/>
      <w:bookmarkEnd w:id="0"/>
      <w:r w:rsidR="005A5D09">
        <w:rPr>
          <w:sz w:val="28"/>
          <w:szCs w:val="28"/>
        </w:rPr>
        <w:t>t je ne peux pas abraser une épaisseur constante.</w:t>
      </w:r>
    </w:p>
    <w:p w:rsidR="004066D9" w:rsidRPr="005A5D09" w:rsidRDefault="004066D9">
      <w:pPr>
        <w:rPr>
          <w:sz w:val="28"/>
          <w:szCs w:val="28"/>
        </w:rPr>
      </w:pPr>
    </w:p>
    <w:sectPr w:rsidR="004066D9" w:rsidRPr="005A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B8"/>
    <w:rsid w:val="000109B8"/>
    <w:rsid w:val="002C2E0E"/>
    <w:rsid w:val="003819B5"/>
    <w:rsid w:val="004066D9"/>
    <w:rsid w:val="005A5D09"/>
    <w:rsid w:val="0095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</cp:revision>
  <dcterms:created xsi:type="dcterms:W3CDTF">2018-12-04T21:27:00Z</dcterms:created>
  <dcterms:modified xsi:type="dcterms:W3CDTF">2018-12-04T22:09:00Z</dcterms:modified>
</cp:coreProperties>
</file>