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5622"/>
        <w:gridCol w:w="1922"/>
      </w:tblGrid>
      <w:tr w:rsidR="001504C0" w:rsidTr="00AA2E6B">
        <w:tc>
          <w:tcPr>
            <w:tcW w:w="1716" w:type="dxa"/>
          </w:tcPr>
          <w:p w:rsidR="001504C0" w:rsidRPr="001252BF" w:rsidRDefault="001504C0" w:rsidP="008E58DE">
            <w:pPr>
              <w:rPr>
                <w:sz w:val="28"/>
              </w:rPr>
            </w:pPr>
            <w:r w:rsidRPr="00D00C2A">
              <w:rPr>
                <w:noProof/>
                <w:sz w:val="28"/>
                <w:lang w:eastAsia="fr-FR"/>
              </w:rPr>
              <w:drawing>
                <wp:inline distT="0" distB="0" distL="0" distR="0" wp14:anchorId="02D7835F" wp14:editId="20D79873">
                  <wp:extent cx="952500" cy="529590"/>
                  <wp:effectExtent l="0" t="0" r="0" b="0"/>
                  <wp:docPr id="1" name="Image 1" descr="Résultat de recherche d'images pour &quot;logo lpn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lpn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62" cy="53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</w:tcPr>
          <w:p w:rsidR="001504C0" w:rsidRDefault="001504C0" w:rsidP="00B043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Compte-rendu de réunion interne</w:t>
            </w:r>
            <w:r>
              <w:rPr>
                <w:sz w:val="32"/>
              </w:rPr>
              <w:br/>
              <w:t xml:space="preserve">du </w:t>
            </w:r>
            <w:r w:rsidR="00CB77C2">
              <w:rPr>
                <w:sz w:val="32"/>
              </w:rPr>
              <w:t>1</w:t>
            </w:r>
            <w:r w:rsidR="00B04389">
              <w:rPr>
                <w:sz w:val="32"/>
              </w:rPr>
              <w:t>4</w:t>
            </w:r>
            <w:r w:rsidR="00CB77C2">
              <w:rPr>
                <w:sz w:val="32"/>
              </w:rPr>
              <w:t>/1</w:t>
            </w:r>
            <w:r w:rsidR="00B04389">
              <w:rPr>
                <w:sz w:val="32"/>
              </w:rPr>
              <w:t>1</w:t>
            </w:r>
            <w:r w:rsidR="00D107A2">
              <w:rPr>
                <w:sz w:val="32"/>
              </w:rPr>
              <w:t>/2018</w:t>
            </w:r>
          </w:p>
        </w:tc>
        <w:tc>
          <w:tcPr>
            <w:tcW w:w="1922" w:type="dxa"/>
          </w:tcPr>
          <w:p w:rsidR="001504C0" w:rsidRDefault="001504C0" w:rsidP="00634BDE">
            <w:pPr>
              <w:jc w:val="center"/>
              <w:rPr>
                <w:sz w:val="32"/>
              </w:rPr>
            </w:pPr>
            <w:r w:rsidRPr="001504C0">
              <w:rPr>
                <w:noProof/>
                <w:sz w:val="32"/>
                <w:lang w:eastAsia="fr-FR"/>
              </w:rPr>
              <w:drawing>
                <wp:inline distT="0" distB="0" distL="0" distR="0" wp14:anchorId="0A002B74" wp14:editId="438FCA0C">
                  <wp:extent cx="789956" cy="409575"/>
                  <wp:effectExtent l="0" t="0" r="0" b="0"/>
                  <wp:docPr id="2" name="Image 2" descr="Résultat de recherche d'images pour &quot;logo t2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ogo t2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6" cy="41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4C0" w:rsidRPr="00AA2E6B" w:rsidRDefault="001504C0" w:rsidP="00634BDE">
            <w:pPr>
              <w:jc w:val="center"/>
              <w:rPr>
                <w:rFonts w:ascii="OCR A Extended" w:hAnsi="OCR A Extended"/>
                <w:b/>
                <w:i/>
                <w:sz w:val="24"/>
                <w:szCs w:val="24"/>
              </w:rPr>
            </w:pPr>
            <w:r w:rsidRPr="00AA2E6B">
              <w:rPr>
                <w:rFonts w:ascii="OCR A Extended" w:hAnsi="OCR A Extended"/>
                <w:b/>
                <w:i/>
                <w:sz w:val="24"/>
                <w:szCs w:val="24"/>
              </w:rPr>
              <w:t>T2K</w:t>
            </w:r>
            <w:r w:rsidR="00AA2E6B">
              <w:rPr>
                <w:rFonts w:ascii="OCR A Extended" w:hAnsi="OCR A Extended"/>
                <w:b/>
                <w:i/>
                <w:sz w:val="24"/>
                <w:szCs w:val="24"/>
              </w:rPr>
              <w:t>-phaseII</w:t>
            </w:r>
          </w:p>
        </w:tc>
      </w:tr>
      <w:tr w:rsidR="008903E1" w:rsidTr="00AA2E6B">
        <w:tc>
          <w:tcPr>
            <w:tcW w:w="1716" w:type="dxa"/>
          </w:tcPr>
          <w:p w:rsidR="008903E1" w:rsidRDefault="008903E1" w:rsidP="00220173">
            <w:r>
              <w:t>Auteur </w:t>
            </w:r>
            <w:r w:rsidR="000526A5">
              <w:t xml:space="preserve">(s) </w:t>
            </w:r>
            <w:r>
              <w:t>:</w:t>
            </w:r>
          </w:p>
          <w:p w:rsidR="008903E1" w:rsidRPr="000526A5" w:rsidRDefault="000526A5" w:rsidP="00220173">
            <w:pPr>
              <w:rPr>
                <w:sz w:val="18"/>
                <w:szCs w:val="18"/>
              </w:rPr>
            </w:pPr>
            <w:r w:rsidRPr="000526A5">
              <w:rPr>
                <w:sz w:val="18"/>
                <w:szCs w:val="18"/>
              </w:rPr>
              <w:t xml:space="preserve">Jean-Marc </w:t>
            </w:r>
            <w:proofErr w:type="spellStart"/>
            <w:r w:rsidRPr="000526A5">
              <w:rPr>
                <w:sz w:val="18"/>
                <w:szCs w:val="18"/>
              </w:rPr>
              <w:t>Parraud</w:t>
            </w:r>
            <w:proofErr w:type="spellEnd"/>
          </w:p>
        </w:tc>
        <w:tc>
          <w:tcPr>
            <w:tcW w:w="5622" w:type="dxa"/>
          </w:tcPr>
          <w:p w:rsidR="000526A5" w:rsidRPr="000526A5" w:rsidRDefault="001504C0" w:rsidP="000526A5">
            <w:pPr>
              <w:rPr>
                <w:sz w:val="20"/>
                <w:szCs w:val="20"/>
              </w:rPr>
            </w:pPr>
            <w:r>
              <w:t>Diffusion</w:t>
            </w:r>
            <w:r w:rsidR="008903E1">
              <w:t> :</w:t>
            </w:r>
            <w:r w:rsidR="000526A5">
              <w:t xml:space="preserve"> </w:t>
            </w:r>
            <w:r w:rsidR="000526A5" w:rsidRPr="000526A5">
              <w:rPr>
                <w:sz w:val="20"/>
                <w:szCs w:val="20"/>
              </w:rPr>
              <w:t xml:space="preserve">Boris Popov, Claudio </w:t>
            </w:r>
            <w:proofErr w:type="spellStart"/>
            <w:r w:rsidR="000526A5" w:rsidRPr="000526A5">
              <w:rPr>
                <w:sz w:val="20"/>
                <w:szCs w:val="20"/>
              </w:rPr>
              <w:t>Giganti</w:t>
            </w:r>
            <w:proofErr w:type="spellEnd"/>
            <w:r w:rsidR="000526A5" w:rsidRPr="000526A5">
              <w:rPr>
                <w:sz w:val="20"/>
                <w:szCs w:val="20"/>
              </w:rPr>
              <w:t>, Ja</w:t>
            </w:r>
            <w:r w:rsidR="00055A67">
              <w:rPr>
                <w:sz w:val="20"/>
                <w:szCs w:val="20"/>
              </w:rPr>
              <w:t xml:space="preserve">cques </w:t>
            </w:r>
            <w:proofErr w:type="spellStart"/>
            <w:r w:rsidR="00055A67">
              <w:rPr>
                <w:sz w:val="20"/>
                <w:szCs w:val="20"/>
              </w:rPr>
              <w:t>Dumarchez</w:t>
            </w:r>
            <w:proofErr w:type="spellEnd"/>
            <w:r w:rsidR="000526A5" w:rsidRPr="000526A5">
              <w:rPr>
                <w:sz w:val="20"/>
                <w:szCs w:val="20"/>
              </w:rPr>
              <w:t xml:space="preserve">, Mathieu </w:t>
            </w:r>
            <w:proofErr w:type="spellStart"/>
            <w:r w:rsidR="000526A5" w:rsidRPr="000526A5">
              <w:rPr>
                <w:sz w:val="20"/>
                <w:szCs w:val="20"/>
              </w:rPr>
              <w:t>Guigue</w:t>
            </w:r>
            <w:proofErr w:type="spellEnd"/>
          </w:p>
          <w:p w:rsidR="008903E1" w:rsidRPr="000526A5" w:rsidRDefault="000526A5" w:rsidP="00220173">
            <w:pPr>
              <w:rPr>
                <w:sz w:val="18"/>
                <w:szCs w:val="18"/>
              </w:rPr>
            </w:pPr>
            <w:r w:rsidRPr="000526A5">
              <w:rPr>
                <w:sz w:val="20"/>
                <w:szCs w:val="20"/>
              </w:rPr>
              <w:t xml:space="preserve">Jean-Marc </w:t>
            </w:r>
            <w:proofErr w:type="spellStart"/>
            <w:r w:rsidRPr="000526A5">
              <w:rPr>
                <w:sz w:val="20"/>
                <w:szCs w:val="20"/>
              </w:rPr>
              <w:t>Parraud</w:t>
            </w:r>
            <w:proofErr w:type="spellEnd"/>
            <w:r w:rsidRPr="000526A5">
              <w:rPr>
                <w:sz w:val="20"/>
                <w:szCs w:val="20"/>
              </w:rPr>
              <w:t xml:space="preserve">, François </w:t>
            </w:r>
            <w:proofErr w:type="spellStart"/>
            <w:r w:rsidRPr="000526A5">
              <w:rPr>
                <w:sz w:val="20"/>
                <w:szCs w:val="20"/>
              </w:rPr>
              <w:t>Toussenel</w:t>
            </w:r>
            <w:proofErr w:type="spellEnd"/>
            <w:r w:rsidRPr="000526A5">
              <w:rPr>
                <w:sz w:val="20"/>
                <w:szCs w:val="20"/>
              </w:rPr>
              <w:t xml:space="preserve">, </w:t>
            </w:r>
            <w:proofErr w:type="spellStart"/>
            <w:r w:rsidR="00CB77C2">
              <w:rPr>
                <w:sz w:val="20"/>
                <w:szCs w:val="20"/>
              </w:rPr>
              <w:t>Eric</w:t>
            </w:r>
            <w:proofErr w:type="spellEnd"/>
            <w:r w:rsidR="00CB77C2">
              <w:rPr>
                <w:sz w:val="20"/>
                <w:szCs w:val="20"/>
              </w:rPr>
              <w:t xml:space="preserve"> Pierre, </w:t>
            </w:r>
            <w:r w:rsidRPr="000526A5">
              <w:rPr>
                <w:sz w:val="20"/>
                <w:szCs w:val="20"/>
              </w:rPr>
              <w:t xml:space="preserve">William </w:t>
            </w:r>
            <w:proofErr w:type="spellStart"/>
            <w:r w:rsidRPr="000526A5">
              <w:rPr>
                <w:sz w:val="20"/>
                <w:szCs w:val="20"/>
              </w:rPr>
              <w:t>Ceria</w:t>
            </w:r>
            <w:proofErr w:type="spellEnd"/>
            <w:r w:rsidRPr="000526A5">
              <w:rPr>
                <w:sz w:val="20"/>
                <w:szCs w:val="20"/>
              </w:rPr>
              <w:t xml:space="preserve">, Yann </w:t>
            </w:r>
            <w:proofErr w:type="spellStart"/>
            <w:r w:rsidRPr="000526A5">
              <w:rPr>
                <w:sz w:val="20"/>
                <w:szCs w:val="20"/>
              </w:rPr>
              <w:t>Orain</w:t>
            </w:r>
            <w:proofErr w:type="spellEnd"/>
            <w:r w:rsidRPr="000526A5">
              <w:rPr>
                <w:sz w:val="20"/>
                <w:szCs w:val="20"/>
              </w:rPr>
              <w:t xml:space="preserve">, Diego </w:t>
            </w:r>
            <w:proofErr w:type="spellStart"/>
            <w:r w:rsidRPr="000526A5">
              <w:rPr>
                <w:sz w:val="20"/>
                <w:szCs w:val="20"/>
              </w:rPr>
              <w:t>Terront</w:t>
            </w:r>
            <w:proofErr w:type="spellEnd"/>
          </w:p>
        </w:tc>
        <w:tc>
          <w:tcPr>
            <w:tcW w:w="1922" w:type="dxa"/>
          </w:tcPr>
          <w:p w:rsidR="008903E1" w:rsidRDefault="001504C0" w:rsidP="00220173">
            <w:r>
              <w:t>Date</w:t>
            </w:r>
            <w:r w:rsidR="008903E1">
              <w:t xml:space="preserve"> : </w:t>
            </w:r>
          </w:p>
          <w:p w:rsidR="008E58DE" w:rsidRDefault="00D83011" w:rsidP="00220173">
            <w:r>
              <w:t>20/11</w:t>
            </w:r>
            <w:r w:rsidR="009A4625">
              <w:t>/2018</w:t>
            </w:r>
          </w:p>
          <w:p w:rsidR="008903E1" w:rsidRDefault="008903E1" w:rsidP="00220173"/>
        </w:tc>
      </w:tr>
    </w:tbl>
    <w:p w:rsidR="006C443C" w:rsidRDefault="006C443C" w:rsidP="008903E1"/>
    <w:p w:rsidR="008903E1" w:rsidRDefault="008903E1" w:rsidP="008903E1">
      <w:pPr>
        <w:rPr>
          <w:i/>
        </w:rPr>
      </w:pPr>
      <w:r w:rsidRPr="008903E1">
        <w:rPr>
          <w:i/>
        </w:rPr>
        <w:t xml:space="preserve">Présents : </w:t>
      </w:r>
      <w:r w:rsidR="00734142">
        <w:rPr>
          <w:i/>
        </w:rPr>
        <w:tab/>
        <w:t>Boris Popov, Clau</w:t>
      </w:r>
      <w:r w:rsidR="00D107A2">
        <w:rPr>
          <w:i/>
        </w:rPr>
        <w:t xml:space="preserve">dio </w:t>
      </w:r>
      <w:proofErr w:type="spellStart"/>
      <w:r w:rsidR="00D107A2">
        <w:rPr>
          <w:i/>
        </w:rPr>
        <w:t>Giganti</w:t>
      </w:r>
      <w:proofErr w:type="spellEnd"/>
      <w:r w:rsidR="00D107A2">
        <w:rPr>
          <w:i/>
        </w:rPr>
        <w:t xml:space="preserve">, Jacques </w:t>
      </w:r>
      <w:proofErr w:type="spellStart"/>
      <w:r w:rsidR="00D107A2">
        <w:rPr>
          <w:i/>
        </w:rPr>
        <w:t>Dumarchez</w:t>
      </w:r>
      <w:proofErr w:type="spellEnd"/>
      <w:r w:rsidR="00B04389">
        <w:rPr>
          <w:i/>
        </w:rPr>
        <w:t>,</w:t>
      </w:r>
    </w:p>
    <w:p w:rsidR="00734142" w:rsidRDefault="00734142" w:rsidP="008903E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Jean-Marc </w:t>
      </w:r>
      <w:proofErr w:type="spellStart"/>
      <w:r>
        <w:rPr>
          <w:i/>
        </w:rPr>
        <w:t>Parraud</w:t>
      </w:r>
      <w:proofErr w:type="spellEnd"/>
      <w:r>
        <w:rPr>
          <w:i/>
        </w:rPr>
        <w:t xml:space="preserve">, William </w:t>
      </w:r>
      <w:proofErr w:type="spellStart"/>
      <w:r>
        <w:rPr>
          <w:i/>
        </w:rPr>
        <w:t>Ceria</w:t>
      </w:r>
      <w:proofErr w:type="spellEnd"/>
      <w:r>
        <w:rPr>
          <w:i/>
        </w:rPr>
        <w:t xml:space="preserve">, </w:t>
      </w:r>
      <w:r w:rsidR="00CB77C2">
        <w:rPr>
          <w:i/>
        </w:rPr>
        <w:t xml:space="preserve">Yann </w:t>
      </w:r>
      <w:proofErr w:type="spellStart"/>
      <w:r w:rsidR="00CB77C2">
        <w:rPr>
          <w:i/>
        </w:rPr>
        <w:t>Orain</w:t>
      </w:r>
      <w:proofErr w:type="spellEnd"/>
      <w:r w:rsidR="00CB77C2">
        <w:rPr>
          <w:i/>
        </w:rPr>
        <w:t xml:space="preserve">, </w:t>
      </w:r>
      <w:r>
        <w:rPr>
          <w:i/>
        </w:rPr>
        <w:t xml:space="preserve">Diego </w:t>
      </w:r>
      <w:proofErr w:type="spellStart"/>
      <w:r>
        <w:rPr>
          <w:i/>
        </w:rPr>
        <w:t>Terront</w:t>
      </w:r>
      <w:proofErr w:type="spellEnd"/>
    </w:p>
    <w:p w:rsidR="0045059B" w:rsidRDefault="0045059B" w:rsidP="008903E1">
      <w:pPr>
        <w:rPr>
          <w:i/>
        </w:rPr>
      </w:pPr>
    </w:p>
    <w:p w:rsidR="0045059B" w:rsidRDefault="0045059B" w:rsidP="008903E1">
      <w:pPr>
        <w:rPr>
          <w:i/>
        </w:rPr>
      </w:pPr>
    </w:p>
    <w:p w:rsidR="00AE718A" w:rsidRDefault="00AE718A" w:rsidP="008903E1">
      <w:pPr>
        <w:rPr>
          <w:i/>
        </w:rPr>
      </w:pPr>
    </w:p>
    <w:p w:rsidR="009720FB" w:rsidRPr="0081528A" w:rsidRDefault="0045059B" w:rsidP="009720FB">
      <w:pPr>
        <w:pStyle w:val="Paragraphedelist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81528A">
        <w:rPr>
          <w:sz w:val="24"/>
          <w:szCs w:val="24"/>
          <w:u w:val="single"/>
        </w:rPr>
        <w:t>Infos générales / Boris Popov</w:t>
      </w:r>
    </w:p>
    <w:p w:rsidR="008056C4" w:rsidRDefault="0045059B" w:rsidP="008C1B08">
      <w:pPr>
        <w:ind w:left="708"/>
        <w:jc w:val="both"/>
      </w:pPr>
      <w:r>
        <w:br/>
      </w:r>
      <w:r w:rsidR="00F40989">
        <w:t xml:space="preserve">Retour sur la réunion </w:t>
      </w:r>
      <w:r w:rsidR="00D83011">
        <w:t xml:space="preserve">« ressources » </w:t>
      </w:r>
      <w:r w:rsidR="00F40989">
        <w:t>du 12/11 avec Patrice Verdier (</w:t>
      </w:r>
      <w:r w:rsidR="000C3DE1">
        <w:t>DAS-</w:t>
      </w:r>
      <w:r w:rsidR="00D83011">
        <w:t>In2p3) :</w:t>
      </w:r>
    </w:p>
    <w:p w:rsidR="001A4CD5" w:rsidRDefault="001A4CD5" w:rsidP="008C1B08">
      <w:pPr>
        <w:ind w:left="708"/>
        <w:jc w:val="both"/>
      </w:pPr>
    </w:p>
    <w:p w:rsidR="0002514F" w:rsidRDefault="009961F1" w:rsidP="001570E0">
      <w:pPr>
        <w:ind w:left="1068"/>
        <w:jc w:val="both"/>
      </w:pPr>
      <w:r>
        <w:t>Présentation à Patrice Verdier d</w:t>
      </w:r>
      <w:r w:rsidR="003D76EE">
        <w:t xml:space="preserve">es prévisions </w:t>
      </w:r>
      <w:r w:rsidR="00BD0AE1">
        <w:t>de</w:t>
      </w:r>
      <w:r w:rsidR="003D76EE">
        <w:t xml:space="preserve"> participation du LPNHE au projet </w:t>
      </w:r>
      <w:r w:rsidR="00EA00C6">
        <w:t xml:space="preserve">pour les 3 années à venir (2019 à 2021) </w:t>
      </w:r>
      <w:r w:rsidR="003D76EE">
        <w:t xml:space="preserve">: </w:t>
      </w:r>
      <w:r w:rsidR="00EA00C6">
        <w:t xml:space="preserve">un total de </w:t>
      </w:r>
      <w:r w:rsidR="003D76EE">
        <w:t xml:space="preserve">150 k€ pour l’étude et la fabrication des 80 cartes front-end (FEC), et 50 k€ pour l’étude et possiblement la fabrication de la mécanique de suspension de l’ensemble TPC + </w:t>
      </w:r>
      <w:proofErr w:type="spellStart"/>
      <w:r w:rsidR="003D76EE">
        <w:t>SuperFGD</w:t>
      </w:r>
      <w:proofErr w:type="spellEnd"/>
      <w:r w:rsidR="003D76EE">
        <w:t>.</w:t>
      </w:r>
      <w:r w:rsidR="00EA00C6">
        <w:t xml:space="preserve"> Les dépenses devraient être plus </w:t>
      </w:r>
      <w:r w:rsidR="002E28C0">
        <w:t>importantes</w:t>
      </w:r>
      <w:r w:rsidR="00EA00C6">
        <w:t xml:space="preserve"> en 2019 et 2020, car l’année 2021 sera en principe réservée à l’installation sur site. </w:t>
      </w:r>
    </w:p>
    <w:p w:rsidR="001A4CD5" w:rsidRDefault="001A4CD5" w:rsidP="001A4CD5">
      <w:pPr>
        <w:ind w:left="708"/>
        <w:jc w:val="both"/>
      </w:pPr>
    </w:p>
    <w:p w:rsidR="007F3F06" w:rsidRDefault="002E28C0" w:rsidP="001570E0">
      <w:pPr>
        <w:pStyle w:val="Paragraphedeliste"/>
        <w:ind w:left="1068"/>
        <w:jc w:val="both"/>
      </w:pPr>
      <w:r>
        <w:t>Patrice Verdier préférerait que notre demande présente un « budget plat », avec des enveloppes équivalentes pour les 3 années</w:t>
      </w:r>
      <w:r w:rsidR="003014D1">
        <w:t xml:space="preserve"> à venir</w:t>
      </w:r>
      <w:r>
        <w:t>.</w:t>
      </w:r>
    </w:p>
    <w:p w:rsidR="003014D1" w:rsidRDefault="001570E0" w:rsidP="001570E0">
      <w:pPr>
        <w:pStyle w:val="Paragraphedeliste"/>
        <w:ind w:left="1068"/>
        <w:jc w:val="both"/>
      </w:pPr>
      <w:r>
        <w:t>Le financement de l’In2p3 sur ce projet pourrait  s’élever jusqu’à 450 k€ au total, comprenant la participation du LPNHE et du LLR. L’enveloppe qui sera dédiée pour le LLR conditionnera l’enveloppe et donc la participation ou non du LPNHE sur la mécanique de suspension.</w:t>
      </w:r>
    </w:p>
    <w:p w:rsidR="001570E0" w:rsidRDefault="003014D1" w:rsidP="001570E0">
      <w:pPr>
        <w:pStyle w:val="Paragraphedeliste"/>
        <w:ind w:left="1068"/>
        <w:jc w:val="both"/>
      </w:pPr>
      <w:r>
        <w:t>La demande globale des 2 labos LPNHE + LLR pourrait donc être évaluée entre 100 et 150 k€ par an.</w:t>
      </w:r>
    </w:p>
    <w:p w:rsidR="00AE718A" w:rsidRDefault="00AE718A" w:rsidP="001570E0">
      <w:pPr>
        <w:pStyle w:val="Paragraphedeliste"/>
        <w:ind w:left="1068"/>
        <w:jc w:val="both"/>
      </w:pPr>
      <w:r>
        <w:t>Les frais de mission au Japon pourraient quant à eux être pris en charge par un programme européen.</w:t>
      </w:r>
    </w:p>
    <w:p w:rsidR="00FF49AB" w:rsidRDefault="00FF49AB" w:rsidP="009B12EA">
      <w:pPr>
        <w:pStyle w:val="Paragraphedeliste"/>
        <w:ind w:left="1428"/>
        <w:jc w:val="both"/>
      </w:pPr>
    </w:p>
    <w:p w:rsidR="00FF49AB" w:rsidRDefault="00AE718A" w:rsidP="001570E0">
      <w:pPr>
        <w:ind w:left="1068"/>
        <w:jc w:val="both"/>
      </w:pPr>
      <w:r>
        <w:t>Il faudra</w:t>
      </w:r>
      <w:r w:rsidR="009961F1">
        <w:t xml:space="preserve"> dans cette optique réaliser une estimation du coût de fabrication des cartes FEC (fabrication des PCB, achat des composants, câblage)</w:t>
      </w:r>
      <w:r w:rsidR="003240CC">
        <w:t>.</w:t>
      </w:r>
      <w:r w:rsidR="009961F1">
        <w:t xml:space="preserve">  </w:t>
      </w:r>
      <w:r w:rsidR="009961F1">
        <w:sym w:font="Wingdings" w:char="F0E0"/>
      </w:r>
      <w:r w:rsidR="009961F1">
        <w:t xml:space="preserve"> Jean-Marc </w:t>
      </w:r>
      <w:proofErr w:type="spellStart"/>
      <w:r w:rsidR="009961F1">
        <w:t>Parraud</w:t>
      </w:r>
      <w:proofErr w:type="spellEnd"/>
    </w:p>
    <w:p w:rsidR="009961F1" w:rsidRDefault="009961F1" w:rsidP="001570E0">
      <w:pPr>
        <w:ind w:left="1068"/>
        <w:jc w:val="both"/>
      </w:pPr>
      <w:r>
        <w:t xml:space="preserve">Yann </w:t>
      </w:r>
      <w:proofErr w:type="spellStart"/>
      <w:r>
        <w:t>Orain</w:t>
      </w:r>
      <w:proofErr w:type="spellEnd"/>
      <w:r>
        <w:t xml:space="preserve"> pense qu’avec 5k€ (estimation </w:t>
      </w:r>
      <w:r w:rsidR="00062F1B">
        <w:t>grossière)</w:t>
      </w:r>
      <w:r>
        <w:t>, on couvrirait la fabrication des capots mécaniques des FEC.</w:t>
      </w:r>
    </w:p>
    <w:p w:rsidR="003240CC" w:rsidRDefault="003240CC" w:rsidP="003240CC">
      <w:pPr>
        <w:ind w:left="708"/>
        <w:jc w:val="both"/>
      </w:pPr>
    </w:p>
    <w:p w:rsidR="0002514F" w:rsidRDefault="0002514F" w:rsidP="009720FB">
      <w:pPr>
        <w:pStyle w:val="Paragraphedelist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81528A">
        <w:rPr>
          <w:sz w:val="24"/>
          <w:szCs w:val="24"/>
          <w:u w:val="single"/>
        </w:rPr>
        <w:t>Contribution du LPNHE </w:t>
      </w:r>
      <w:r w:rsidR="00882B1B" w:rsidRPr="0081528A">
        <w:rPr>
          <w:sz w:val="24"/>
          <w:szCs w:val="24"/>
          <w:u w:val="single"/>
        </w:rPr>
        <w:t>-</w:t>
      </w:r>
      <w:r w:rsidRPr="0081528A">
        <w:rPr>
          <w:sz w:val="24"/>
          <w:szCs w:val="24"/>
          <w:u w:val="single"/>
        </w:rPr>
        <w:t xml:space="preserve"> mécanique / William </w:t>
      </w:r>
      <w:proofErr w:type="spellStart"/>
      <w:r w:rsidRPr="0081528A">
        <w:rPr>
          <w:sz w:val="24"/>
          <w:szCs w:val="24"/>
          <w:u w:val="single"/>
        </w:rPr>
        <w:t>Ceria</w:t>
      </w:r>
      <w:proofErr w:type="spellEnd"/>
    </w:p>
    <w:p w:rsidR="00806430" w:rsidRDefault="00806430" w:rsidP="00806430">
      <w:pPr>
        <w:jc w:val="both"/>
        <w:rPr>
          <w:sz w:val="24"/>
          <w:szCs w:val="24"/>
          <w:u w:val="single"/>
        </w:rPr>
      </w:pPr>
    </w:p>
    <w:p w:rsidR="00CF7D01" w:rsidRDefault="007E4739" w:rsidP="007E473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Jacques </w:t>
      </w:r>
      <w:proofErr w:type="spellStart"/>
      <w:r>
        <w:rPr>
          <w:sz w:val="24"/>
          <w:szCs w:val="24"/>
        </w:rPr>
        <w:t>Dumarchez</w:t>
      </w:r>
      <w:proofErr w:type="spellEnd"/>
      <w:r>
        <w:rPr>
          <w:sz w:val="24"/>
          <w:szCs w:val="24"/>
        </w:rPr>
        <w:t xml:space="preserve"> et William </w:t>
      </w:r>
      <w:proofErr w:type="spellStart"/>
      <w:r>
        <w:rPr>
          <w:sz w:val="24"/>
          <w:szCs w:val="24"/>
        </w:rPr>
        <w:t>Ceria</w:t>
      </w:r>
      <w:proofErr w:type="spellEnd"/>
      <w:r>
        <w:rPr>
          <w:sz w:val="24"/>
          <w:szCs w:val="24"/>
        </w:rPr>
        <w:t xml:space="preserve"> ont effectué comme programmé</w:t>
      </w:r>
      <w:r w:rsidR="00094E18">
        <w:rPr>
          <w:sz w:val="24"/>
          <w:szCs w:val="24"/>
        </w:rPr>
        <w:t xml:space="preserve"> </w:t>
      </w:r>
      <w:r w:rsidR="00AE718A">
        <w:rPr>
          <w:sz w:val="24"/>
          <w:szCs w:val="24"/>
        </w:rPr>
        <w:t>(</w:t>
      </w:r>
      <w:r w:rsidR="00094E18">
        <w:rPr>
          <w:sz w:val="24"/>
          <w:szCs w:val="24"/>
        </w:rPr>
        <w:t>semaine 43</w:t>
      </w:r>
      <w:r w:rsidR="00AE718A">
        <w:rPr>
          <w:sz w:val="24"/>
          <w:szCs w:val="24"/>
        </w:rPr>
        <w:t>)</w:t>
      </w:r>
      <w:r>
        <w:rPr>
          <w:sz w:val="24"/>
          <w:szCs w:val="24"/>
        </w:rPr>
        <w:t xml:space="preserve"> la mission</w:t>
      </w:r>
      <w:r w:rsidR="00806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 le site d’expérience </w:t>
      </w:r>
      <w:r w:rsidR="00806430">
        <w:rPr>
          <w:sz w:val="24"/>
          <w:szCs w:val="24"/>
        </w:rPr>
        <w:t>à Tokai</w:t>
      </w:r>
      <w:r>
        <w:rPr>
          <w:sz w:val="24"/>
          <w:szCs w:val="24"/>
        </w:rPr>
        <w:t>.</w:t>
      </w:r>
      <w:r w:rsidR="00806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mesures </w:t>
      </w:r>
      <w:r w:rsidR="00AE718A">
        <w:rPr>
          <w:sz w:val="24"/>
          <w:szCs w:val="24"/>
        </w:rPr>
        <w:t xml:space="preserve">métriques </w:t>
      </w:r>
      <w:r>
        <w:rPr>
          <w:sz w:val="24"/>
          <w:szCs w:val="24"/>
        </w:rPr>
        <w:t xml:space="preserve">précises ont </w:t>
      </w:r>
      <w:r w:rsidR="00094E18">
        <w:rPr>
          <w:sz w:val="24"/>
          <w:szCs w:val="24"/>
        </w:rPr>
        <w:t xml:space="preserve">ainsi </w:t>
      </w:r>
      <w:r>
        <w:rPr>
          <w:sz w:val="24"/>
          <w:szCs w:val="24"/>
        </w:rPr>
        <w:t>pu être faites sur la st</w:t>
      </w:r>
      <w:r w:rsidR="000F1BAD">
        <w:rPr>
          <w:sz w:val="24"/>
          <w:szCs w:val="24"/>
        </w:rPr>
        <w:t>ructure existante du détecteur</w:t>
      </w:r>
      <w:r w:rsidR="00B3294F">
        <w:rPr>
          <w:sz w:val="24"/>
          <w:szCs w:val="24"/>
        </w:rPr>
        <w:t>, ainsi que des</w:t>
      </w:r>
      <w:r w:rsidR="000F1BAD">
        <w:rPr>
          <w:sz w:val="24"/>
          <w:szCs w:val="24"/>
        </w:rPr>
        <w:t xml:space="preserve"> repérages sur les </w:t>
      </w:r>
      <w:r w:rsidR="00B3294F">
        <w:rPr>
          <w:sz w:val="24"/>
          <w:szCs w:val="24"/>
        </w:rPr>
        <w:t xml:space="preserve">« services » (passage des câbles et fluides) </w:t>
      </w:r>
      <w:r w:rsidR="000F1BAD">
        <w:rPr>
          <w:sz w:val="24"/>
          <w:szCs w:val="24"/>
        </w:rPr>
        <w:t xml:space="preserve"> </w:t>
      </w:r>
    </w:p>
    <w:p w:rsidR="000F1BAD" w:rsidRDefault="000F1BAD" w:rsidP="007E4739">
      <w:pPr>
        <w:ind w:left="708"/>
        <w:jc w:val="both"/>
        <w:rPr>
          <w:sz w:val="24"/>
          <w:szCs w:val="24"/>
        </w:rPr>
      </w:pPr>
    </w:p>
    <w:p w:rsidR="00CF7D01" w:rsidRDefault="000F1BAD" w:rsidP="008064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ce niveau d’étude, d</w:t>
      </w:r>
      <w:r w:rsidR="00094E18">
        <w:rPr>
          <w:sz w:val="24"/>
          <w:szCs w:val="24"/>
        </w:rPr>
        <w:t>eux solutions de montage des sous-détecteurs (</w:t>
      </w:r>
      <w:proofErr w:type="spellStart"/>
      <w:r w:rsidR="00094E18">
        <w:rPr>
          <w:sz w:val="24"/>
          <w:szCs w:val="24"/>
        </w:rPr>
        <w:t>TPC</w:t>
      </w:r>
      <w:r>
        <w:rPr>
          <w:sz w:val="24"/>
          <w:szCs w:val="24"/>
        </w:rPr>
        <w:t>s</w:t>
      </w:r>
      <w:proofErr w:type="spellEnd"/>
      <w:r w:rsidR="00612FBE">
        <w:rPr>
          <w:sz w:val="24"/>
          <w:szCs w:val="24"/>
        </w:rPr>
        <w:t xml:space="preserve"> +</w:t>
      </w:r>
      <w:r w:rsidR="00094E18">
        <w:rPr>
          <w:sz w:val="24"/>
          <w:szCs w:val="24"/>
        </w:rPr>
        <w:t xml:space="preserve"> SFGD)</w:t>
      </w:r>
      <w:r>
        <w:rPr>
          <w:sz w:val="24"/>
          <w:szCs w:val="24"/>
        </w:rPr>
        <w:t xml:space="preserve"> sont envisagées.  Une réflexion est </w:t>
      </w:r>
      <w:r w:rsidR="00AE718A">
        <w:rPr>
          <w:sz w:val="24"/>
          <w:szCs w:val="24"/>
        </w:rPr>
        <w:t xml:space="preserve">encore </w:t>
      </w:r>
      <w:r>
        <w:rPr>
          <w:sz w:val="24"/>
          <w:szCs w:val="24"/>
        </w:rPr>
        <w:t>à mener sur le cheminement des câbles et des fluides</w:t>
      </w:r>
      <w:r w:rsidR="00B3294F">
        <w:rPr>
          <w:sz w:val="24"/>
          <w:szCs w:val="24"/>
        </w:rPr>
        <w:t xml:space="preserve"> jusqu’aux sous-détecteurs</w:t>
      </w:r>
      <w:r>
        <w:rPr>
          <w:sz w:val="24"/>
          <w:szCs w:val="24"/>
        </w:rPr>
        <w:t>.</w:t>
      </w:r>
    </w:p>
    <w:p w:rsidR="000F1BAD" w:rsidRDefault="002C1B5E" w:rsidP="008064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D’autre part, des calculs sont à </w:t>
      </w:r>
      <w:r w:rsidR="00AE718A">
        <w:rPr>
          <w:sz w:val="24"/>
          <w:szCs w:val="24"/>
        </w:rPr>
        <w:t>envisager</w:t>
      </w:r>
      <w:r>
        <w:rPr>
          <w:sz w:val="24"/>
          <w:szCs w:val="24"/>
        </w:rPr>
        <w:t xml:space="preserve"> concernant les contraintes </w:t>
      </w:r>
      <w:r w:rsidR="00AE718A">
        <w:rPr>
          <w:sz w:val="24"/>
          <w:szCs w:val="24"/>
        </w:rPr>
        <w:t>liées</w:t>
      </w:r>
      <w:r>
        <w:rPr>
          <w:sz w:val="24"/>
          <w:szCs w:val="24"/>
        </w:rPr>
        <w:t xml:space="preserve"> aux séismes, en lien avec Frank </w:t>
      </w:r>
      <w:proofErr w:type="spellStart"/>
      <w:r>
        <w:rPr>
          <w:sz w:val="24"/>
          <w:szCs w:val="24"/>
        </w:rPr>
        <w:t>Cadoux</w:t>
      </w:r>
      <w:proofErr w:type="spellEnd"/>
      <w:r>
        <w:rPr>
          <w:sz w:val="24"/>
          <w:szCs w:val="24"/>
        </w:rPr>
        <w:t>.</w:t>
      </w:r>
    </w:p>
    <w:p w:rsidR="00AE718A" w:rsidRPr="00806430" w:rsidRDefault="00AE718A" w:rsidP="00806430">
      <w:pPr>
        <w:ind w:left="708"/>
        <w:jc w:val="both"/>
        <w:rPr>
          <w:sz w:val="24"/>
          <w:szCs w:val="24"/>
        </w:rPr>
      </w:pPr>
    </w:p>
    <w:p w:rsidR="0079547E" w:rsidRPr="0081528A" w:rsidRDefault="0079547E" w:rsidP="009720FB">
      <w:pPr>
        <w:pStyle w:val="Paragraphedelist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81528A">
        <w:rPr>
          <w:sz w:val="24"/>
          <w:szCs w:val="24"/>
          <w:u w:val="single"/>
        </w:rPr>
        <w:t xml:space="preserve">Contribution du LPNHE </w:t>
      </w:r>
      <w:r w:rsidR="003C3A98">
        <w:rPr>
          <w:sz w:val="24"/>
          <w:szCs w:val="24"/>
          <w:u w:val="single"/>
        </w:rPr>
        <w:t>-</w:t>
      </w:r>
      <w:r w:rsidRPr="0081528A">
        <w:rPr>
          <w:sz w:val="24"/>
          <w:szCs w:val="24"/>
          <w:u w:val="single"/>
        </w:rPr>
        <w:t xml:space="preserve"> électronique / Jean-Marc </w:t>
      </w:r>
      <w:proofErr w:type="spellStart"/>
      <w:r w:rsidRPr="0081528A">
        <w:rPr>
          <w:sz w:val="24"/>
          <w:szCs w:val="24"/>
          <w:u w:val="single"/>
        </w:rPr>
        <w:t>Parraud</w:t>
      </w:r>
      <w:proofErr w:type="spellEnd"/>
    </w:p>
    <w:p w:rsidR="0079547E" w:rsidRDefault="0079547E" w:rsidP="009720FB">
      <w:pPr>
        <w:jc w:val="both"/>
      </w:pPr>
    </w:p>
    <w:p w:rsidR="00031A58" w:rsidRDefault="00031A58" w:rsidP="009720FB">
      <w:pPr>
        <w:ind w:left="708"/>
        <w:jc w:val="both"/>
      </w:pPr>
      <w:r>
        <w:t>Cin</w:t>
      </w:r>
      <w:r w:rsidR="008A7816">
        <w:t>q cartes</w:t>
      </w:r>
      <w:r>
        <w:t xml:space="preserve"> </w:t>
      </w:r>
      <w:r w:rsidR="008A7816">
        <w:t xml:space="preserve">« maquettes » </w:t>
      </w:r>
      <w:r>
        <w:t>seront à réaliser pour fin 2018 : ces cartes incorporant la connectique choisie pour les FEC définitives, serviront d’interface pour recevoir chacune 2 cartes « ARC » (cartes d’acquisition fournies par l’</w:t>
      </w:r>
      <w:proofErr w:type="spellStart"/>
      <w:r>
        <w:t>Irfu</w:t>
      </w:r>
      <w:proofErr w:type="spellEnd"/>
      <w:r>
        <w:t xml:space="preserve">). </w:t>
      </w:r>
      <w:r w:rsidR="005B2DEF">
        <w:t>Dans un premier temps, e</w:t>
      </w:r>
      <w:r>
        <w:t xml:space="preserve">lles auront pour but de valider la connectique (connecteurs </w:t>
      </w:r>
      <w:proofErr w:type="spellStart"/>
      <w:r>
        <w:t>Hirose</w:t>
      </w:r>
      <w:proofErr w:type="spellEnd"/>
      <w:r>
        <w:t xml:space="preserve"> type FX23) et de tester le </w:t>
      </w:r>
      <w:r w:rsidR="005B2DEF">
        <w:t xml:space="preserve">prototype du </w:t>
      </w:r>
      <w:r>
        <w:t xml:space="preserve">nouveau détecteur </w:t>
      </w:r>
      <w:proofErr w:type="spellStart"/>
      <w:r>
        <w:t>Micromégas</w:t>
      </w:r>
      <w:proofErr w:type="spellEnd"/>
      <w:r>
        <w:t xml:space="preserve"> MM#1. </w:t>
      </w:r>
    </w:p>
    <w:p w:rsidR="00CF7D01" w:rsidRDefault="00031A58" w:rsidP="009720FB">
      <w:pPr>
        <w:ind w:left="708"/>
        <w:jc w:val="both"/>
      </w:pPr>
      <w:r>
        <w:t>Si les essais sont concluants, ces cartes serviront également à monter un ou plusieurs bancs de tests, couplées avec les cartes « ARC ».</w:t>
      </w:r>
    </w:p>
    <w:p w:rsidR="00612FBE" w:rsidRDefault="00612FBE" w:rsidP="009720FB">
      <w:pPr>
        <w:ind w:left="708"/>
        <w:jc w:val="both"/>
      </w:pPr>
      <w:r>
        <w:t xml:space="preserve">L’orientation de la connectique est maintenant </w:t>
      </w:r>
      <w:r w:rsidR="008A7816">
        <w:t>arrêtée</w:t>
      </w:r>
      <w:r>
        <w:t xml:space="preserve"> </w:t>
      </w:r>
      <w:r w:rsidR="008A7816">
        <w:t>par la collaboration</w:t>
      </w:r>
      <w:r>
        <w:t xml:space="preserve">, et le design de la carte </w:t>
      </w:r>
      <w:r w:rsidR="008A7816">
        <w:t xml:space="preserve">« maquette » </w:t>
      </w:r>
      <w:r w:rsidR="00B03BBB">
        <w:t xml:space="preserve">sera finalisé et soumis à </w:t>
      </w:r>
      <w:proofErr w:type="spellStart"/>
      <w:r w:rsidR="00B03BBB">
        <w:t>Eric</w:t>
      </w:r>
      <w:proofErr w:type="spellEnd"/>
      <w:r w:rsidR="00B03BBB">
        <w:t xml:space="preserve"> Pierre pour </w:t>
      </w:r>
      <w:r>
        <w:t xml:space="preserve">placement-routage </w:t>
      </w:r>
      <w:r w:rsidR="00B03BBB">
        <w:t>proba</w:t>
      </w:r>
      <w:r>
        <w:t xml:space="preserve">blement demain 15/11. Il est espéré pouvoir lancer la commande (fabrication des PCB + câblage) vraisemblablement chez </w:t>
      </w:r>
      <w:proofErr w:type="spellStart"/>
      <w:r>
        <w:t>Ouestronic</w:t>
      </w:r>
      <w:proofErr w:type="spellEnd"/>
      <w:r>
        <w:t>, pour la fin du mois de novembre. Les composants sont approvisionnés</w:t>
      </w:r>
      <w:r w:rsidR="00B03BBB">
        <w:t xml:space="preserve"> au LPNHE.</w:t>
      </w:r>
    </w:p>
    <w:p w:rsidR="00990D15" w:rsidRDefault="00990D15" w:rsidP="009720FB">
      <w:pPr>
        <w:ind w:left="708"/>
        <w:jc w:val="both"/>
      </w:pPr>
      <w:r>
        <w:t>Boris demande à ce que les tests électriques des cartes soient effectués dans la mesure du possible par le fournisseur.</w:t>
      </w:r>
    </w:p>
    <w:p w:rsidR="00B03BBB" w:rsidRDefault="00B03BBB" w:rsidP="009720FB">
      <w:pPr>
        <w:ind w:left="708"/>
        <w:jc w:val="both"/>
      </w:pPr>
    </w:p>
    <w:p w:rsidR="00B03BBB" w:rsidRDefault="00B03BBB" w:rsidP="009720FB">
      <w:pPr>
        <w:ind w:left="708"/>
        <w:jc w:val="both"/>
      </w:pPr>
      <w:r>
        <w:t>Il est rappelé l’urgence de passer commande de la réalisation de ces cartes, car les commandes seront bloquées à partir de fin novembre / début décembre (fin de l’exercice 2018).</w:t>
      </w:r>
      <w:r w:rsidR="00990D15">
        <w:t xml:space="preserve"> La livraison/réception au LPNHE pourra se faire début 2019 si nécessaire, à condition que le montant de la facture corresponde exactement au devis établi.</w:t>
      </w:r>
    </w:p>
    <w:p w:rsidR="00776AE4" w:rsidRDefault="00776AE4" w:rsidP="009720FB">
      <w:pPr>
        <w:ind w:left="708"/>
        <w:jc w:val="both"/>
      </w:pPr>
    </w:p>
    <w:p w:rsidR="00A06E54" w:rsidRPr="00614ACA" w:rsidRDefault="00A06E54" w:rsidP="00A06E54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614ACA">
        <w:rPr>
          <w:u w:val="single"/>
        </w:rPr>
        <w:t>AOB</w:t>
      </w:r>
    </w:p>
    <w:p w:rsidR="00A06E54" w:rsidRDefault="00A06E54" w:rsidP="00A06E54">
      <w:pPr>
        <w:jc w:val="both"/>
      </w:pPr>
    </w:p>
    <w:p w:rsidR="00145594" w:rsidRDefault="00776AE4" w:rsidP="00145594">
      <w:pPr>
        <w:ind w:left="708"/>
        <w:jc w:val="both"/>
      </w:pPr>
      <w:r>
        <w:t>La prochaine réunion interne est fixée au 11 décembre 2018</w:t>
      </w:r>
      <w:r w:rsidR="00145594">
        <w:t>.</w:t>
      </w:r>
      <w:bookmarkStart w:id="0" w:name="_GoBack"/>
      <w:bookmarkEnd w:id="0"/>
    </w:p>
    <w:sectPr w:rsidR="00145594" w:rsidSect="006C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BFA"/>
    <w:multiLevelType w:val="hybridMultilevel"/>
    <w:tmpl w:val="4F7C9728"/>
    <w:lvl w:ilvl="0" w:tplc="CCEAB6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560B2A"/>
    <w:multiLevelType w:val="hybridMultilevel"/>
    <w:tmpl w:val="CD166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1BA5"/>
    <w:multiLevelType w:val="hybridMultilevel"/>
    <w:tmpl w:val="5E4CF3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0BD"/>
    <w:multiLevelType w:val="hybridMultilevel"/>
    <w:tmpl w:val="61A0BF64"/>
    <w:lvl w:ilvl="0" w:tplc="CCEAB6E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3E1"/>
    <w:rsid w:val="0000439A"/>
    <w:rsid w:val="0002514F"/>
    <w:rsid w:val="00031A58"/>
    <w:rsid w:val="00037264"/>
    <w:rsid w:val="000526A5"/>
    <w:rsid w:val="00055139"/>
    <w:rsid w:val="00055A67"/>
    <w:rsid w:val="00062F1B"/>
    <w:rsid w:val="00085968"/>
    <w:rsid w:val="00094E18"/>
    <w:rsid w:val="000C3DE1"/>
    <w:rsid w:val="000F1BAD"/>
    <w:rsid w:val="00102041"/>
    <w:rsid w:val="00127CAA"/>
    <w:rsid w:val="00145594"/>
    <w:rsid w:val="001504C0"/>
    <w:rsid w:val="001570E0"/>
    <w:rsid w:val="00170E20"/>
    <w:rsid w:val="001A4CD5"/>
    <w:rsid w:val="001C3914"/>
    <w:rsid w:val="002927FA"/>
    <w:rsid w:val="002C1B5E"/>
    <w:rsid w:val="002E28C0"/>
    <w:rsid w:val="003014D1"/>
    <w:rsid w:val="0030187B"/>
    <w:rsid w:val="003240CC"/>
    <w:rsid w:val="003C3A98"/>
    <w:rsid w:val="003D76EE"/>
    <w:rsid w:val="004334E9"/>
    <w:rsid w:val="0045059B"/>
    <w:rsid w:val="004D43F6"/>
    <w:rsid w:val="004E2B8F"/>
    <w:rsid w:val="004F19D0"/>
    <w:rsid w:val="0055034F"/>
    <w:rsid w:val="005B2DEF"/>
    <w:rsid w:val="00600DA6"/>
    <w:rsid w:val="00612FBE"/>
    <w:rsid w:val="00614ACA"/>
    <w:rsid w:val="00634BDE"/>
    <w:rsid w:val="006C443C"/>
    <w:rsid w:val="006E7D18"/>
    <w:rsid w:val="00734142"/>
    <w:rsid w:val="00770C88"/>
    <w:rsid w:val="00776AE4"/>
    <w:rsid w:val="0079547E"/>
    <w:rsid w:val="007A1440"/>
    <w:rsid w:val="007B5882"/>
    <w:rsid w:val="007D3EE7"/>
    <w:rsid w:val="007E4739"/>
    <w:rsid w:val="007F3F06"/>
    <w:rsid w:val="00801ED3"/>
    <w:rsid w:val="008056C4"/>
    <w:rsid w:val="00806430"/>
    <w:rsid w:val="00814E05"/>
    <w:rsid w:val="0081528A"/>
    <w:rsid w:val="008268E9"/>
    <w:rsid w:val="00854888"/>
    <w:rsid w:val="00882B1B"/>
    <w:rsid w:val="008903E1"/>
    <w:rsid w:val="008A7816"/>
    <w:rsid w:val="008C1B08"/>
    <w:rsid w:val="008C508E"/>
    <w:rsid w:val="008E58DE"/>
    <w:rsid w:val="008F108D"/>
    <w:rsid w:val="00920BAD"/>
    <w:rsid w:val="00956285"/>
    <w:rsid w:val="009720FB"/>
    <w:rsid w:val="00990D15"/>
    <w:rsid w:val="009961F1"/>
    <w:rsid w:val="00997F9A"/>
    <w:rsid w:val="009A4625"/>
    <w:rsid w:val="009B12EA"/>
    <w:rsid w:val="00A06E54"/>
    <w:rsid w:val="00A174B1"/>
    <w:rsid w:val="00AA2E6B"/>
    <w:rsid w:val="00AE718A"/>
    <w:rsid w:val="00B03BBB"/>
    <w:rsid w:val="00B04389"/>
    <w:rsid w:val="00B27777"/>
    <w:rsid w:val="00B3294F"/>
    <w:rsid w:val="00B452F3"/>
    <w:rsid w:val="00B56483"/>
    <w:rsid w:val="00B96C6F"/>
    <w:rsid w:val="00BA07C9"/>
    <w:rsid w:val="00BA5DA1"/>
    <w:rsid w:val="00BD0AE1"/>
    <w:rsid w:val="00BD1350"/>
    <w:rsid w:val="00C138A0"/>
    <w:rsid w:val="00C758FD"/>
    <w:rsid w:val="00CB77C2"/>
    <w:rsid w:val="00CF7D01"/>
    <w:rsid w:val="00D00C2A"/>
    <w:rsid w:val="00D06F99"/>
    <w:rsid w:val="00D107A2"/>
    <w:rsid w:val="00D73701"/>
    <w:rsid w:val="00D83011"/>
    <w:rsid w:val="00DD71A1"/>
    <w:rsid w:val="00E619B4"/>
    <w:rsid w:val="00EA00C6"/>
    <w:rsid w:val="00EB545E"/>
    <w:rsid w:val="00F16A25"/>
    <w:rsid w:val="00F40989"/>
    <w:rsid w:val="00FA26B8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E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564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0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</dc:creator>
  <cp:lastModifiedBy>Jean-Marc Parraud</cp:lastModifiedBy>
  <cp:revision>14</cp:revision>
  <dcterms:created xsi:type="dcterms:W3CDTF">2018-11-19T11:13:00Z</dcterms:created>
  <dcterms:modified xsi:type="dcterms:W3CDTF">2018-11-21T11:40:00Z</dcterms:modified>
</cp:coreProperties>
</file>