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F9D" w:rsidRDefault="009D2F9D" w:rsidP="009D2F9D"/>
    <w:p w:rsidR="009D2F9D" w:rsidRDefault="009D2F9D" w:rsidP="009D2F9D">
      <w:pPr>
        <w:pStyle w:val="Titre1"/>
      </w:pPr>
      <w:r>
        <w:t>Fiche de renseignement</w:t>
      </w:r>
    </w:p>
    <w:p w:rsidR="009D2F9D" w:rsidRDefault="009D2F9D" w:rsidP="009D2F9D">
      <w:r>
        <w:t>Pour les différentes entrées du tableau, il serait souhaitable que chaque acteur du GT renseigne en quelques termes simples les données suivantes (selon le cas, certains champs peuvent ne pas avoir lieu d’être):</w:t>
      </w:r>
    </w:p>
    <w:p w:rsidR="009D2F9D" w:rsidRDefault="009D2F9D" w:rsidP="009D2F9D">
      <w:pPr>
        <w:pStyle w:val="Titre1"/>
        <w:numPr>
          <w:ilvl w:val="0"/>
          <w:numId w:val="0"/>
        </w:numPr>
      </w:pPr>
      <w:r w:rsidRPr="00B512BF">
        <w:rPr>
          <w:b w:val="0"/>
        </w:rPr>
        <w:t>machine/projet</w:t>
      </w:r>
      <w:r>
        <w:t xml:space="preserve"> : </w:t>
      </w:r>
      <w:r w:rsidR="00A50A64">
        <w:t>THOMX</w:t>
      </w:r>
      <w:r>
        <w:t xml:space="preserve"> </w:t>
      </w:r>
    </w:p>
    <w:p w:rsidR="009D2F9D" w:rsidRDefault="009D2F9D" w:rsidP="009D2F9D">
      <w:pPr>
        <w:numPr>
          <w:ilvl w:val="0"/>
          <w:numId w:val="2"/>
        </w:numPr>
      </w:pPr>
      <w:r>
        <w:t>donner les principales caractéristiques (</w:t>
      </w:r>
      <w:proofErr w:type="spellStart"/>
      <w:r>
        <w:t>carac</w:t>
      </w:r>
      <w:proofErr w:type="spellEnd"/>
      <w:r>
        <w:t xml:space="preserve"> faisceau, techno), </w:t>
      </w:r>
    </w:p>
    <w:p w:rsidR="005070AF" w:rsidRDefault="005070AF" w:rsidP="005070AF">
      <w:pPr>
        <w:ind w:left="708"/>
      </w:pPr>
      <w:proofErr w:type="spellStart"/>
      <w:r>
        <w:t>ThomX</w:t>
      </w:r>
      <w:proofErr w:type="spellEnd"/>
      <w:r>
        <w:t xml:space="preserve">  est  le  p</w:t>
      </w:r>
      <w:r>
        <w:t xml:space="preserve">rojet  français  d’une  source </w:t>
      </w:r>
      <w:r>
        <w:t>de  rayons X  d</w:t>
      </w:r>
      <w:r>
        <w:t xml:space="preserve">e  40  à  90  </w:t>
      </w:r>
      <w:proofErr w:type="spellStart"/>
      <w:r>
        <w:t>keV</w:t>
      </w:r>
      <w:proofErr w:type="spellEnd"/>
      <w:r>
        <w:t xml:space="preserve">,  basée  sur </w:t>
      </w:r>
      <w:r>
        <w:t>l’interaction</w:t>
      </w:r>
      <w:r>
        <w:t xml:space="preserve">  Compton  inverse,  entre  un </w:t>
      </w:r>
      <w:r>
        <w:t xml:space="preserve">laser  de  </w:t>
      </w:r>
      <w:r>
        <w:t xml:space="preserve">forte  puissance  moyenne,  et </w:t>
      </w:r>
      <w:r>
        <w:t>un  faisceau  d</w:t>
      </w:r>
      <w:r>
        <w:t xml:space="preserve">’électrons    dans  un  anneau </w:t>
      </w:r>
      <w:r>
        <w:t>de  stockag</w:t>
      </w:r>
      <w:r>
        <w:t xml:space="preserve">e.  Un  accélérateur  linéaire </w:t>
      </w:r>
      <w:r>
        <w:t>d’électrons  d</w:t>
      </w:r>
      <w:r>
        <w:t xml:space="preserve">e  50  à  70  MeV,  créés  par </w:t>
      </w:r>
      <w:r>
        <w:t>photoém</w:t>
      </w:r>
      <w:r>
        <w:t xml:space="preserve">ission,  injecte  l’anneau  de </w:t>
      </w:r>
      <w:r>
        <w:t>stockage de</w:t>
      </w:r>
      <w:r>
        <w:t xml:space="preserve"> 18 m de circonférence, créant </w:t>
      </w:r>
      <w:r>
        <w:t xml:space="preserve">un taux de répétition de 16.7 MHz. Au </w:t>
      </w:r>
      <w:r>
        <w:t xml:space="preserve">point </w:t>
      </w:r>
      <w:r>
        <w:t>d’interaction  pl</w:t>
      </w:r>
      <w:r>
        <w:t xml:space="preserve">acé  sur  l’anneau,  un  laser </w:t>
      </w:r>
      <w:r>
        <w:t>de  forte  pu</w:t>
      </w:r>
      <w:r>
        <w:t xml:space="preserve">issance  moyenne  est  injecté </w:t>
      </w:r>
      <w:r>
        <w:t>dans  une  cavi</w:t>
      </w:r>
      <w:r>
        <w:t>té  résonnante  (cavité  Fabry-</w:t>
      </w:r>
      <w:proofErr w:type="spellStart"/>
      <w:r>
        <w:t>Perot</w:t>
      </w:r>
      <w:proofErr w:type="spellEnd"/>
      <w:r>
        <w:t>)  perme</w:t>
      </w:r>
      <w:r>
        <w:t xml:space="preserve">ttant  un  gain  de  puissance </w:t>
      </w:r>
      <w:r>
        <w:t>d’un  facteur  1</w:t>
      </w:r>
      <w:r>
        <w:t xml:space="preserve">0 000.  L’interaction  produit </w:t>
      </w:r>
      <w:r>
        <w:t>alors un flux d</w:t>
      </w:r>
      <w:r>
        <w:t xml:space="preserve">e rayons X de 10 13  photons/s </w:t>
      </w:r>
      <w:r>
        <w:t>qui  sont  transp</w:t>
      </w:r>
      <w:r>
        <w:t>ortés  par  une  ligne  dédiée vers une aire expérimentale de type ligne X sur synchrotron.</w:t>
      </w:r>
    </w:p>
    <w:p w:rsidR="005070AF" w:rsidRDefault="005070AF" w:rsidP="00A50A64">
      <w:pPr>
        <w:ind w:left="708"/>
      </w:pPr>
    </w:p>
    <w:p w:rsidR="009D2F9D" w:rsidRDefault="009D2F9D" w:rsidP="009D2F9D">
      <w:pPr>
        <w:numPr>
          <w:ilvl w:val="0"/>
          <w:numId w:val="2"/>
        </w:numPr>
      </w:pPr>
      <w:r w:rsidRPr="00B512BF">
        <w:rPr>
          <w:b/>
        </w:rPr>
        <w:t xml:space="preserve">l’application de la machine/projet </w:t>
      </w:r>
      <w:r>
        <w:t xml:space="preserve">: donner l’activité scientifique réalisée (bio, médicale, </w:t>
      </w:r>
      <w:proofErr w:type="spellStart"/>
      <w:r>
        <w:t>physque</w:t>
      </w:r>
      <w:proofErr w:type="spellEnd"/>
      <w:r>
        <w:t xml:space="preserve">, </w:t>
      </w:r>
      <w:proofErr w:type="spellStart"/>
      <w:r>
        <w:t>astro</w:t>
      </w:r>
      <w:proofErr w:type="spellEnd"/>
      <w:r>
        <w:t xml:space="preserve">, indus, etc…), </w:t>
      </w:r>
    </w:p>
    <w:p w:rsidR="009D2F9D" w:rsidRDefault="0003202D" w:rsidP="009D2F9D">
      <w:pPr>
        <w:ind w:left="720"/>
        <w:rPr>
          <w:b/>
        </w:rPr>
      </w:pPr>
      <w:r>
        <w:rPr>
          <w:b/>
        </w:rPr>
        <w:t>Dé</w:t>
      </w:r>
      <w:r w:rsidRPr="0003202D">
        <w:rPr>
          <w:b/>
        </w:rPr>
        <w:t>monstrateur</w:t>
      </w:r>
      <w:r w:rsidR="009D2F9D" w:rsidRPr="0003202D">
        <w:rPr>
          <w:b/>
        </w:rPr>
        <w:t xml:space="preserve"> </w:t>
      </w:r>
      <w:r w:rsidR="00A50A64">
        <w:rPr>
          <w:b/>
        </w:rPr>
        <w:t>source RX</w:t>
      </w:r>
    </w:p>
    <w:p w:rsidR="00A50A64" w:rsidRDefault="00A50A64" w:rsidP="009D2F9D">
      <w:pPr>
        <w:ind w:left="720"/>
        <w:rPr>
          <w:b/>
        </w:rPr>
      </w:pPr>
      <w:r>
        <w:rPr>
          <w:b/>
        </w:rPr>
        <w:t xml:space="preserve">Application : analyse patrimoine, imagerie </w:t>
      </w:r>
      <w:proofErr w:type="spellStart"/>
      <w:r>
        <w:rPr>
          <w:b/>
        </w:rPr>
        <w:t>medicale</w:t>
      </w:r>
      <w:proofErr w:type="spellEnd"/>
      <w:r>
        <w:rPr>
          <w:b/>
        </w:rPr>
        <w:t xml:space="preserve">, </w:t>
      </w:r>
      <w:proofErr w:type="spellStart"/>
      <w:r>
        <w:rPr>
          <w:b/>
        </w:rPr>
        <w:t>radiotherapie</w:t>
      </w:r>
      <w:proofErr w:type="spellEnd"/>
      <w:r>
        <w:rPr>
          <w:b/>
        </w:rPr>
        <w:t xml:space="preserve">, </w:t>
      </w:r>
      <w:proofErr w:type="spellStart"/>
      <w:r>
        <w:rPr>
          <w:b/>
        </w:rPr>
        <w:t>paleontologie</w:t>
      </w:r>
      <w:proofErr w:type="spellEnd"/>
      <w:r>
        <w:rPr>
          <w:b/>
        </w:rPr>
        <w:t>,…</w:t>
      </w:r>
    </w:p>
    <w:p w:rsidR="00A50A64" w:rsidRPr="0003202D" w:rsidRDefault="00A50A64" w:rsidP="009D2F9D">
      <w:pPr>
        <w:ind w:left="720"/>
        <w:rPr>
          <w:b/>
        </w:rPr>
      </w:pPr>
      <w:r>
        <w:rPr>
          <w:b/>
        </w:rPr>
        <w:t xml:space="preserve">Une partie R&amp;D source </w:t>
      </w:r>
      <w:proofErr w:type="spellStart"/>
      <w:r>
        <w:rPr>
          <w:b/>
        </w:rPr>
        <w:t>compton</w:t>
      </w:r>
      <w:proofErr w:type="spellEnd"/>
      <w:r>
        <w:rPr>
          <w:b/>
        </w:rPr>
        <w:t xml:space="preserve"> sera aussi effective</w:t>
      </w:r>
      <w:bookmarkStart w:id="0" w:name="_GoBack"/>
      <w:bookmarkEnd w:id="0"/>
    </w:p>
    <w:p w:rsidR="009D2F9D" w:rsidRDefault="009D2F9D" w:rsidP="009D2F9D">
      <w:pPr>
        <w:numPr>
          <w:ilvl w:val="0"/>
          <w:numId w:val="2"/>
        </w:numPr>
      </w:pPr>
      <w:r w:rsidRPr="00B512BF">
        <w:rPr>
          <w:b/>
        </w:rPr>
        <w:t>les technos utilisées</w:t>
      </w:r>
      <w:r>
        <w:t xml:space="preserve"> : décrire les éléments développés et la R&amp;D associée (par exemple cavités supra appuyé sur R&amp;D matériaux supra développée et R&amp;D associée), </w:t>
      </w:r>
    </w:p>
    <w:p w:rsidR="00A50A64" w:rsidRDefault="00A50A64" w:rsidP="00407D17">
      <w:pPr>
        <w:ind w:left="720"/>
      </w:pPr>
      <w:proofErr w:type="gramStart"/>
      <w:r>
        <w:rPr>
          <w:b/>
        </w:rPr>
        <w:t>accélérateur</w:t>
      </w:r>
      <w:proofErr w:type="gramEnd"/>
      <w:r>
        <w:rPr>
          <w:b/>
        </w:rPr>
        <w:t xml:space="preserve"> : </w:t>
      </w:r>
      <w:r w:rsidR="00683547">
        <w:rPr>
          <w:b/>
        </w:rPr>
        <w:t>Cavités</w:t>
      </w:r>
      <w:r>
        <w:rPr>
          <w:b/>
        </w:rPr>
        <w:t xml:space="preserve"> « chaudes »</w:t>
      </w:r>
      <w:r w:rsidR="009D2F9D">
        <w:t>,</w:t>
      </w:r>
      <w:r>
        <w:t xml:space="preserve"> structures RF bande S (canon RF, section accélératrice), aimants pulsés (kicker +septum), aimants continus, cavité RF 500 MHz, alimentation ampli solide techno Soleil, </w:t>
      </w:r>
      <w:proofErr w:type="spellStart"/>
      <w:r>
        <w:t>fast</w:t>
      </w:r>
      <w:proofErr w:type="spellEnd"/>
      <w:r>
        <w:t xml:space="preserve"> feedback transverse position faisceau</w:t>
      </w:r>
    </w:p>
    <w:p w:rsidR="009D2F9D" w:rsidRDefault="009D2F9D" w:rsidP="00407D17">
      <w:pPr>
        <w:ind w:left="720"/>
      </w:pPr>
      <w:r>
        <w:t xml:space="preserve"> </w:t>
      </w:r>
      <w:proofErr w:type="gramStart"/>
      <w:r w:rsidR="00A50A64">
        <w:t>laser</w:t>
      </w:r>
      <w:proofErr w:type="gramEnd"/>
      <w:r w:rsidR="00A50A64">
        <w:t> : laser photocathode + laser interaction haute puissance + cavité Fabry-</w:t>
      </w:r>
      <w:proofErr w:type="spellStart"/>
      <w:r w:rsidR="00A50A64">
        <w:t>Perot</w:t>
      </w:r>
      <w:proofErr w:type="spellEnd"/>
    </w:p>
    <w:p w:rsidR="00A50A64" w:rsidRDefault="00A50A64" w:rsidP="00407D17">
      <w:pPr>
        <w:ind w:left="720"/>
      </w:pPr>
      <w:r>
        <w:t xml:space="preserve">R&amp;D amplification laser, stockage haute puissance </w:t>
      </w:r>
      <w:proofErr w:type="spellStart"/>
      <w:r>
        <w:t>cavite</w:t>
      </w:r>
      <w:proofErr w:type="spellEnd"/>
      <w:r>
        <w:t xml:space="preserve"> Fabry-</w:t>
      </w:r>
      <w:proofErr w:type="spellStart"/>
      <w:r>
        <w:t>perot</w:t>
      </w:r>
      <w:proofErr w:type="spellEnd"/>
      <w:r>
        <w:t>, feedback position laser</w:t>
      </w:r>
    </w:p>
    <w:p w:rsidR="00407D17" w:rsidRPr="00407D17" w:rsidRDefault="00407D17" w:rsidP="00407D17">
      <w:pPr>
        <w:pStyle w:val="Paragraphedeliste"/>
        <w:numPr>
          <w:ilvl w:val="0"/>
          <w:numId w:val="2"/>
        </w:numPr>
        <w:rPr>
          <w:b/>
        </w:rPr>
      </w:pPr>
      <w:r w:rsidRPr="00407D17">
        <w:rPr>
          <w:b/>
        </w:rPr>
        <w:t>métiers et compétences associés</w:t>
      </w:r>
      <w:r>
        <w:rPr>
          <w:b/>
        </w:rPr>
        <w:t> :</w:t>
      </w:r>
    </w:p>
    <w:p w:rsidR="0003202D" w:rsidRDefault="00A50A64" w:rsidP="0003202D">
      <w:pPr>
        <w:ind w:left="720"/>
      </w:pPr>
      <w:proofErr w:type="gramStart"/>
      <w:r>
        <w:rPr>
          <w:b/>
        </w:rPr>
        <w:t>RF ,</w:t>
      </w:r>
      <w:proofErr w:type="gramEnd"/>
      <w:r>
        <w:rPr>
          <w:b/>
        </w:rPr>
        <w:t xml:space="preserve"> Vide, Thermique et Mécanique, Electronique (LLRF et puissance</w:t>
      </w:r>
      <w:r w:rsidR="0003202D">
        <w:rPr>
          <w:b/>
        </w:rPr>
        <w:t xml:space="preserve">), </w:t>
      </w:r>
      <w:r w:rsidR="005070AF">
        <w:rPr>
          <w:b/>
        </w:rPr>
        <w:t>optique, laser, sécurité, radioprotection</w:t>
      </w:r>
      <w:r w:rsidR="0003202D">
        <w:rPr>
          <w:b/>
        </w:rPr>
        <w:t>…</w:t>
      </w:r>
    </w:p>
    <w:p w:rsidR="009D2F9D" w:rsidRDefault="009D2F9D" w:rsidP="009D2F9D">
      <w:pPr>
        <w:numPr>
          <w:ilvl w:val="0"/>
          <w:numId w:val="2"/>
        </w:numPr>
      </w:pPr>
      <w:r w:rsidRPr="00B512BF">
        <w:rPr>
          <w:b/>
        </w:rPr>
        <w:t>RH</w:t>
      </w:r>
      <w:r>
        <w:t xml:space="preserve"> (utilisées et/ou besoins), </w:t>
      </w:r>
    </w:p>
    <w:p w:rsidR="005070AF" w:rsidRDefault="005070AF" w:rsidP="005070AF">
      <w:pPr>
        <w:ind w:left="720"/>
      </w:pPr>
      <w:r>
        <w:rPr>
          <w:b/>
        </w:rPr>
        <w:lastRenderedPageBreak/>
        <w:t xml:space="preserve">28 ETP pour 2017, 20 pour 2018, 18 pour 2019 </w:t>
      </w:r>
    </w:p>
    <w:p w:rsidR="009D2F9D" w:rsidRPr="005070AF" w:rsidRDefault="005070AF" w:rsidP="009D2F9D">
      <w:pPr>
        <w:numPr>
          <w:ilvl w:val="0"/>
          <w:numId w:val="2"/>
        </w:numPr>
      </w:pPr>
      <w:r w:rsidRPr="00B512BF">
        <w:rPr>
          <w:b/>
        </w:rPr>
        <w:t>C</w:t>
      </w:r>
      <w:r w:rsidR="009D2F9D" w:rsidRPr="00B512BF">
        <w:rPr>
          <w:b/>
        </w:rPr>
        <w:t>ollaborations</w:t>
      </w:r>
    </w:p>
    <w:p w:rsidR="005070AF" w:rsidRDefault="00C865E8" w:rsidP="00C865E8">
      <w:pPr>
        <w:ind w:left="720"/>
      </w:pPr>
      <w:proofErr w:type="spellStart"/>
      <w:r>
        <w:t>ThomX</w:t>
      </w:r>
      <w:proofErr w:type="spellEnd"/>
      <w:r>
        <w:t xml:space="preserve"> bénéf</w:t>
      </w:r>
      <w:r>
        <w:t xml:space="preserve">icie du savoir-faire de pointe </w:t>
      </w:r>
      <w:r>
        <w:t>des  8  partenaire</w:t>
      </w:r>
      <w:r>
        <w:t xml:space="preserve">s  français  du  projet  :  le </w:t>
      </w:r>
      <w:r>
        <w:t>Synchrotron  S</w:t>
      </w:r>
      <w:r>
        <w:t xml:space="preserve">oleil,  le  Synchrotron  ESRF, </w:t>
      </w:r>
      <w:r>
        <w:t>Thalès,  le  C</w:t>
      </w:r>
      <w:r>
        <w:t xml:space="preserve">ELIA  (Centre  Laser  Intenses </w:t>
      </w:r>
      <w:r>
        <w:t>et  Applicat</w:t>
      </w:r>
      <w:r>
        <w:t xml:space="preserve">ions),  le  LAMS  (Laboratoire </w:t>
      </w:r>
      <w:r>
        <w:t xml:space="preserve">d’Archéologie  </w:t>
      </w:r>
      <w:r>
        <w:t xml:space="preserve">Moléculaire  et  Structurale), L’institut </w:t>
      </w:r>
      <w:r>
        <w:t>de n</w:t>
      </w:r>
      <w:r>
        <w:t xml:space="preserve">euroscience de Grenoble (GIN), </w:t>
      </w:r>
      <w:r>
        <w:t xml:space="preserve">L’institut  NEEL, </w:t>
      </w:r>
      <w:r>
        <w:t xml:space="preserve"> et  le  LAL  (Laboratoire  de </w:t>
      </w:r>
      <w:r>
        <w:t>l’Accélérateur Linéaire) égale</w:t>
      </w:r>
      <w:r>
        <w:t xml:space="preserve">ment manager </w:t>
      </w:r>
      <w:r>
        <w:t>général  du  proj</w:t>
      </w:r>
      <w:r>
        <w:t>et</w:t>
      </w:r>
      <w:r>
        <w:t>.</w:t>
      </w:r>
    </w:p>
    <w:p w:rsidR="009D2F9D" w:rsidRDefault="009D2F9D" w:rsidP="009D2F9D">
      <w:pPr>
        <w:numPr>
          <w:ilvl w:val="0"/>
          <w:numId w:val="2"/>
        </w:numPr>
      </w:pPr>
      <w:r w:rsidRPr="00B512BF">
        <w:rPr>
          <w:b/>
        </w:rPr>
        <w:t>livrables/échéances</w:t>
      </w:r>
      <w:r>
        <w:t xml:space="preserve"> : </w:t>
      </w:r>
      <w:proofErr w:type="spellStart"/>
      <w:r>
        <w:t>explicter</w:t>
      </w:r>
      <w:proofErr w:type="spellEnd"/>
      <w:r>
        <w:t xml:space="preserve"> par exemple l’implication dans les phases du cycle de vie (Design, conception/étude, Fabrication, Install, </w:t>
      </w:r>
      <w:proofErr w:type="spellStart"/>
      <w:r>
        <w:t>Commissioning</w:t>
      </w:r>
      <w:proofErr w:type="spellEnd"/>
      <w:r>
        <w:t>, exploitation, Upgrade…</w:t>
      </w:r>
      <w:proofErr w:type="gramStart"/>
      <w:r>
        <w:t>) ,</w:t>
      </w:r>
      <w:proofErr w:type="gramEnd"/>
    </w:p>
    <w:p w:rsidR="005070AF" w:rsidRDefault="005070AF" w:rsidP="005070AF">
      <w:r>
        <w:t xml:space="preserve">  </w:t>
      </w:r>
      <w:proofErr w:type="gramStart"/>
      <w:r>
        <w:t>avant</w:t>
      </w:r>
      <w:proofErr w:type="gramEnd"/>
      <w:r>
        <w:t xml:space="preserve"> 2017 : </w:t>
      </w:r>
      <w:proofErr w:type="spellStart"/>
      <w:r>
        <w:t>equipement</w:t>
      </w:r>
      <w:proofErr w:type="spellEnd"/>
      <w:r>
        <w:t xml:space="preserve"> + </w:t>
      </w:r>
      <w:proofErr w:type="spellStart"/>
      <w:r>
        <w:t>demmarrage</w:t>
      </w:r>
      <w:proofErr w:type="spellEnd"/>
      <w:r>
        <w:t xml:space="preserve"> </w:t>
      </w:r>
      <w:proofErr w:type="spellStart"/>
      <w:r>
        <w:t>commissioning</w:t>
      </w:r>
      <w:proofErr w:type="spellEnd"/>
      <w:r>
        <w:t xml:space="preserve"> technique</w:t>
      </w:r>
    </w:p>
    <w:p w:rsidR="005070AF" w:rsidRDefault="005070AF" w:rsidP="005070AF">
      <w:r>
        <w:t>2017 : installation dans IGLEX</w:t>
      </w:r>
    </w:p>
    <w:p w:rsidR="005070AF" w:rsidRDefault="005070AF" w:rsidP="005070AF">
      <w:r>
        <w:t xml:space="preserve">2018 : </w:t>
      </w:r>
      <w:proofErr w:type="spellStart"/>
      <w:r>
        <w:t>commissioning</w:t>
      </w:r>
      <w:proofErr w:type="spellEnd"/>
    </w:p>
    <w:p w:rsidR="005070AF" w:rsidRDefault="005070AF" w:rsidP="005070AF">
      <w:r>
        <w:t>2019 :</w:t>
      </w:r>
      <w:r w:rsidR="00C865E8">
        <w:t xml:space="preserve"> mode exploitation</w:t>
      </w:r>
    </w:p>
    <w:p w:rsidR="009D2F9D" w:rsidRDefault="009D2F9D" w:rsidP="009D2F9D">
      <w:pPr>
        <w:numPr>
          <w:ilvl w:val="0"/>
          <w:numId w:val="2"/>
        </w:numPr>
      </w:pPr>
      <w:r w:rsidRPr="00B512BF">
        <w:rPr>
          <w:b/>
        </w:rPr>
        <w:t>infrastructures utilisées</w:t>
      </w:r>
      <w:r>
        <w:t xml:space="preserve">, </w:t>
      </w:r>
    </w:p>
    <w:p w:rsidR="000A5125" w:rsidRDefault="005070AF" w:rsidP="000A5125">
      <w:pPr>
        <w:ind w:left="720"/>
      </w:pPr>
      <w:r>
        <w:rPr>
          <w:b/>
        </w:rPr>
        <w:t>IGLEX + infra LAL</w:t>
      </w:r>
    </w:p>
    <w:p w:rsidR="009D2F9D" w:rsidRDefault="009D2F9D" w:rsidP="009D2F9D">
      <w:pPr>
        <w:numPr>
          <w:ilvl w:val="0"/>
          <w:numId w:val="2"/>
        </w:numPr>
      </w:pPr>
      <w:r w:rsidRPr="00B512BF">
        <w:rPr>
          <w:b/>
        </w:rPr>
        <w:t>retombées/perspectives/synergies</w:t>
      </w:r>
      <w:r>
        <w:t xml:space="preserve"> avec autres GT…</w:t>
      </w:r>
    </w:p>
    <w:p w:rsidR="00C865E8" w:rsidRDefault="00C865E8" w:rsidP="000A5125">
      <w:pPr>
        <w:ind w:left="720"/>
        <w:rPr>
          <w:b/>
        </w:rPr>
      </w:pPr>
      <w:proofErr w:type="gramStart"/>
      <w:r>
        <w:rPr>
          <w:b/>
        </w:rPr>
        <w:t>perspectives</w:t>
      </w:r>
      <w:proofErr w:type="gramEnd"/>
      <w:r>
        <w:rPr>
          <w:b/>
        </w:rPr>
        <w:t> : devenir une plateforme avec utilisateur, continuer R&amp;D source Compton</w:t>
      </w:r>
    </w:p>
    <w:p w:rsidR="00C865E8" w:rsidRDefault="00C865E8" w:rsidP="000A5125">
      <w:pPr>
        <w:ind w:left="720"/>
        <w:rPr>
          <w:b/>
        </w:rPr>
      </w:pPr>
    </w:p>
    <w:p w:rsidR="005070AF" w:rsidRPr="00C865E8" w:rsidRDefault="00C865E8" w:rsidP="00C865E8">
      <w:pPr>
        <w:ind w:left="720"/>
        <w:rPr>
          <w:b/>
        </w:rPr>
      </w:pPr>
      <w:r>
        <w:rPr>
          <w:b/>
        </w:rPr>
        <w:t xml:space="preserve">interaction avec : </w:t>
      </w:r>
      <w:r w:rsidR="005070AF">
        <w:rPr>
          <w:b/>
        </w:rPr>
        <w:t xml:space="preserve">GT </w:t>
      </w:r>
      <w:proofErr w:type="spellStart"/>
      <w:r w:rsidR="005070AF">
        <w:rPr>
          <w:b/>
        </w:rPr>
        <w:t>plateforme</w:t>
      </w:r>
      <w:proofErr w:type="gramStart"/>
      <w:r>
        <w:rPr>
          <w:b/>
        </w:rPr>
        <w:t>,</w:t>
      </w:r>
      <w:r w:rsidR="005070AF">
        <w:rPr>
          <w:b/>
        </w:rPr>
        <w:t>GT</w:t>
      </w:r>
      <w:proofErr w:type="spellEnd"/>
      <w:proofErr w:type="gramEnd"/>
      <w:r w:rsidR="005070AF">
        <w:rPr>
          <w:b/>
        </w:rPr>
        <w:t xml:space="preserve"> radioprotection</w:t>
      </w:r>
    </w:p>
    <w:p w:rsidR="009D2F9D" w:rsidRDefault="009D2F9D" w:rsidP="009D2F9D">
      <w:pPr>
        <w:numPr>
          <w:ilvl w:val="0"/>
          <w:numId w:val="2"/>
        </w:numPr>
      </w:pPr>
      <w:r w:rsidRPr="00B512BF">
        <w:rPr>
          <w:b/>
        </w:rPr>
        <w:t>Autre</w:t>
      </w:r>
      <w:r>
        <w:t xml:space="preserve"> </w:t>
      </w:r>
    </w:p>
    <w:p w:rsidR="00C865E8" w:rsidRDefault="00C865E8" w:rsidP="00C865E8">
      <w:pPr>
        <w:ind w:left="720"/>
      </w:pPr>
      <w:r>
        <w:t xml:space="preserve">Financement ANR + In2p3 </w:t>
      </w:r>
    </w:p>
    <w:p w:rsidR="00C865E8" w:rsidRDefault="00C865E8" w:rsidP="00C865E8">
      <w:pPr>
        <w:ind w:left="720"/>
      </w:pPr>
    </w:p>
    <w:p w:rsidR="00C865E8" w:rsidRDefault="00C865E8" w:rsidP="00C865E8">
      <w:pPr>
        <w:ind w:left="720"/>
      </w:pPr>
      <w:r>
        <w:t>Note : problématique fonctionnement plateforme : moyens financiers et humains</w:t>
      </w:r>
    </w:p>
    <w:p w:rsidR="004F31B4" w:rsidRDefault="004F31B4"/>
    <w:sectPr w:rsidR="004F31B4" w:rsidSect="004F31B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5C3342"/>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1" w15:restartNumberingAfterBreak="0">
    <w:nsid w:val="6DE2355D"/>
    <w:multiLevelType w:val="hybridMultilevel"/>
    <w:tmpl w:val="67687A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F9D"/>
    <w:rsid w:val="0003202D"/>
    <w:rsid w:val="000A5125"/>
    <w:rsid w:val="00275888"/>
    <w:rsid w:val="00290C14"/>
    <w:rsid w:val="00294C14"/>
    <w:rsid w:val="002A6CFC"/>
    <w:rsid w:val="003975A1"/>
    <w:rsid w:val="003E22BD"/>
    <w:rsid w:val="003E7301"/>
    <w:rsid w:val="00407D17"/>
    <w:rsid w:val="004D5388"/>
    <w:rsid w:val="004F31B4"/>
    <w:rsid w:val="005070AF"/>
    <w:rsid w:val="00543A1E"/>
    <w:rsid w:val="005F1EA9"/>
    <w:rsid w:val="00683547"/>
    <w:rsid w:val="006C3459"/>
    <w:rsid w:val="008A197E"/>
    <w:rsid w:val="008F5374"/>
    <w:rsid w:val="009D2F9D"/>
    <w:rsid w:val="00A50A64"/>
    <w:rsid w:val="00B02D08"/>
    <w:rsid w:val="00C43A2A"/>
    <w:rsid w:val="00C865E8"/>
    <w:rsid w:val="00D810AA"/>
    <w:rsid w:val="00DF54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415E34-3C7F-4189-9A22-A1E7A47C2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16"/>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F9D"/>
    <w:rPr>
      <w:rFonts w:ascii="Calibri" w:eastAsia="Calibri" w:hAnsi="Calibri" w:cs="Times New Roman"/>
      <w:sz w:val="22"/>
    </w:rPr>
  </w:style>
  <w:style w:type="paragraph" w:styleId="Titre1">
    <w:name w:val="heading 1"/>
    <w:basedOn w:val="Normal"/>
    <w:next w:val="Normal"/>
    <w:link w:val="Titre1Car"/>
    <w:uiPriority w:val="9"/>
    <w:qFormat/>
    <w:rsid w:val="009D2F9D"/>
    <w:pPr>
      <w:keepNext/>
      <w:numPr>
        <w:numId w:val="1"/>
      </w:numPr>
      <w:spacing w:before="240" w:after="60"/>
      <w:outlineLvl w:val="0"/>
    </w:pPr>
    <w:rPr>
      <w:rFonts w:ascii="Calibri Light" w:eastAsia="Times New Roman" w:hAnsi="Calibri Light"/>
      <w:b/>
      <w:bCs/>
      <w:kern w:val="32"/>
      <w:sz w:val="32"/>
      <w:szCs w:val="32"/>
    </w:rPr>
  </w:style>
  <w:style w:type="paragraph" w:styleId="Titre2">
    <w:name w:val="heading 2"/>
    <w:basedOn w:val="Normal"/>
    <w:next w:val="Normal"/>
    <w:link w:val="Titre2Car"/>
    <w:uiPriority w:val="9"/>
    <w:semiHidden/>
    <w:unhideWhenUsed/>
    <w:qFormat/>
    <w:rsid w:val="009D2F9D"/>
    <w:pPr>
      <w:keepNext/>
      <w:numPr>
        <w:ilvl w:val="1"/>
        <w:numId w:val="1"/>
      </w:numPr>
      <w:spacing w:before="240" w:after="60"/>
      <w:outlineLvl w:val="1"/>
    </w:pPr>
    <w:rPr>
      <w:rFonts w:ascii="Calibri Light" w:eastAsia="Times New Roman" w:hAnsi="Calibri Light"/>
      <w:b/>
      <w:bCs/>
      <w:i/>
      <w:iCs/>
      <w:sz w:val="28"/>
      <w:szCs w:val="28"/>
    </w:rPr>
  </w:style>
  <w:style w:type="paragraph" w:styleId="Titre3">
    <w:name w:val="heading 3"/>
    <w:basedOn w:val="Normal"/>
    <w:next w:val="Normal"/>
    <w:link w:val="Titre3Car"/>
    <w:uiPriority w:val="9"/>
    <w:semiHidden/>
    <w:unhideWhenUsed/>
    <w:qFormat/>
    <w:rsid w:val="009D2F9D"/>
    <w:pPr>
      <w:keepNext/>
      <w:numPr>
        <w:ilvl w:val="2"/>
        <w:numId w:val="1"/>
      </w:numPr>
      <w:spacing w:before="240" w:after="60"/>
      <w:outlineLvl w:val="2"/>
    </w:pPr>
    <w:rPr>
      <w:rFonts w:ascii="Calibri Light" w:eastAsia="Times New Roman" w:hAnsi="Calibri Light"/>
      <w:b/>
      <w:bCs/>
      <w:sz w:val="26"/>
      <w:szCs w:val="26"/>
    </w:rPr>
  </w:style>
  <w:style w:type="paragraph" w:styleId="Titre4">
    <w:name w:val="heading 4"/>
    <w:basedOn w:val="Normal"/>
    <w:next w:val="Normal"/>
    <w:link w:val="Titre4Car"/>
    <w:uiPriority w:val="9"/>
    <w:semiHidden/>
    <w:unhideWhenUsed/>
    <w:qFormat/>
    <w:rsid w:val="009D2F9D"/>
    <w:pPr>
      <w:keepNext/>
      <w:numPr>
        <w:ilvl w:val="3"/>
        <w:numId w:val="1"/>
      </w:numPr>
      <w:spacing w:before="240" w:after="60"/>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9D2F9D"/>
    <w:pPr>
      <w:numPr>
        <w:ilvl w:val="4"/>
        <w:numId w:val="1"/>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9D2F9D"/>
    <w:pPr>
      <w:numPr>
        <w:ilvl w:val="5"/>
        <w:numId w:val="1"/>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9D2F9D"/>
    <w:pPr>
      <w:numPr>
        <w:ilvl w:val="6"/>
        <w:numId w:val="1"/>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9D2F9D"/>
    <w:pPr>
      <w:numPr>
        <w:ilvl w:val="7"/>
        <w:numId w:val="1"/>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9D2F9D"/>
    <w:pPr>
      <w:numPr>
        <w:ilvl w:val="8"/>
        <w:numId w:val="1"/>
      </w:numPr>
      <w:spacing w:before="240" w:after="60"/>
      <w:outlineLvl w:val="8"/>
    </w:pPr>
    <w:rPr>
      <w:rFonts w:ascii="Calibri Light" w:eastAsia="Times New Roman" w:hAnsi="Calibri Light"/>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D2F9D"/>
    <w:rPr>
      <w:rFonts w:ascii="Calibri Light" w:eastAsia="Times New Roman" w:hAnsi="Calibri Light" w:cs="Times New Roman"/>
      <w:b/>
      <w:bCs/>
      <w:kern w:val="32"/>
      <w:sz w:val="32"/>
      <w:szCs w:val="32"/>
    </w:rPr>
  </w:style>
  <w:style w:type="character" w:customStyle="1" w:styleId="Titre2Car">
    <w:name w:val="Titre 2 Car"/>
    <w:basedOn w:val="Policepardfaut"/>
    <w:link w:val="Titre2"/>
    <w:uiPriority w:val="9"/>
    <w:semiHidden/>
    <w:rsid w:val="009D2F9D"/>
    <w:rPr>
      <w:rFonts w:ascii="Calibri Light" w:eastAsia="Times New Roman" w:hAnsi="Calibri Light" w:cs="Times New Roman"/>
      <w:b/>
      <w:bCs/>
      <w:i/>
      <w:iCs/>
      <w:sz w:val="28"/>
      <w:szCs w:val="28"/>
    </w:rPr>
  </w:style>
  <w:style w:type="character" w:customStyle="1" w:styleId="Titre3Car">
    <w:name w:val="Titre 3 Car"/>
    <w:basedOn w:val="Policepardfaut"/>
    <w:link w:val="Titre3"/>
    <w:uiPriority w:val="9"/>
    <w:semiHidden/>
    <w:rsid w:val="009D2F9D"/>
    <w:rPr>
      <w:rFonts w:ascii="Calibri Light" w:eastAsia="Times New Roman" w:hAnsi="Calibri Light" w:cs="Times New Roman"/>
      <w:b/>
      <w:bCs/>
      <w:sz w:val="26"/>
      <w:szCs w:val="26"/>
    </w:rPr>
  </w:style>
  <w:style w:type="character" w:customStyle="1" w:styleId="Titre4Car">
    <w:name w:val="Titre 4 Car"/>
    <w:basedOn w:val="Policepardfaut"/>
    <w:link w:val="Titre4"/>
    <w:uiPriority w:val="9"/>
    <w:semiHidden/>
    <w:rsid w:val="009D2F9D"/>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rsid w:val="009D2F9D"/>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9D2F9D"/>
    <w:rPr>
      <w:rFonts w:ascii="Calibri" w:eastAsia="Times New Roman" w:hAnsi="Calibri" w:cs="Times New Roman"/>
      <w:b/>
      <w:bCs/>
      <w:sz w:val="22"/>
    </w:rPr>
  </w:style>
  <w:style w:type="character" w:customStyle="1" w:styleId="Titre7Car">
    <w:name w:val="Titre 7 Car"/>
    <w:basedOn w:val="Policepardfaut"/>
    <w:link w:val="Titre7"/>
    <w:uiPriority w:val="9"/>
    <w:semiHidden/>
    <w:rsid w:val="009D2F9D"/>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9D2F9D"/>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9D2F9D"/>
    <w:rPr>
      <w:rFonts w:ascii="Calibri Light" w:eastAsia="Times New Roman" w:hAnsi="Calibri Light" w:cs="Times New Roman"/>
      <w:sz w:val="22"/>
    </w:rPr>
  </w:style>
  <w:style w:type="paragraph" w:styleId="Paragraphedeliste">
    <w:name w:val="List Paragraph"/>
    <w:basedOn w:val="Normal"/>
    <w:uiPriority w:val="34"/>
    <w:qFormat/>
    <w:rsid w:val="00407D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2838</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joly</dc:creator>
  <cp:lastModifiedBy>Hugues Monard</cp:lastModifiedBy>
  <cp:revision>2</cp:revision>
  <dcterms:created xsi:type="dcterms:W3CDTF">2017-05-16T14:00:00Z</dcterms:created>
  <dcterms:modified xsi:type="dcterms:W3CDTF">2017-05-16T14:00:00Z</dcterms:modified>
</cp:coreProperties>
</file>