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F9D" w:rsidRDefault="009D2F9D" w:rsidP="009D2F9D"/>
    <w:p w:rsidR="009D2F9D" w:rsidRDefault="009D2F9D" w:rsidP="009D2F9D">
      <w:pPr>
        <w:pStyle w:val="Titre1"/>
      </w:pPr>
      <w:r>
        <w:t>Fiche de renseignement</w:t>
      </w:r>
    </w:p>
    <w:p w:rsidR="009D2F9D" w:rsidRDefault="009D2F9D" w:rsidP="009D2F9D">
      <w:r>
        <w:t>Pour les différentes entrées du tableau, il serait souhaitable que chaque acteur du GT renseigne en quelques termes simples les données suivantes (selon le cas, certains champs peuvent ne pas avoir lieu d’être):</w:t>
      </w:r>
    </w:p>
    <w:p w:rsidR="009D2F9D" w:rsidRDefault="009D2F9D" w:rsidP="009D2F9D">
      <w:pPr>
        <w:pStyle w:val="Titre1"/>
        <w:numPr>
          <w:ilvl w:val="0"/>
          <w:numId w:val="0"/>
        </w:numPr>
      </w:pPr>
      <w:r w:rsidRPr="00B512BF">
        <w:rPr>
          <w:b w:val="0"/>
        </w:rPr>
        <w:t>machine/projet</w:t>
      </w:r>
      <w:r>
        <w:t xml:space="preserve"> : MYRRHA </w:t>
      </w:r>
    </w:p>
    <w:p w:rsidR="009D2F9D" w:rsidRDefault="009D2F9D" w:rsidP="009D2F9D">
      <w:pPr>
        <w:numPr>
          <w:ilvl w:val="0"/>
          <w:numId w:val="2"/>
        </w:numPr>
      </w:pPr>
      <w:r>
        <w:t>donner les principales caractéristiques (</w:t>
      </w:r>
      <w:proofErr w:type="spellStart"/>
      <w:r>
        <w:t>carac</w:t>
      </w:r>
      <w:proofErr w:type="spellEnd"/>
      <w:r>
        <w:t xml:space="preserve"> faisceau, techno), </w:t>
      </w:r>
    </w:p>
    <w:p w:rsidR="009D2F9D" w:rsidRPr="009D2F9D" w:rsidRDefault="009D2F9D" w:rsidP="009D2F9D">
      <w:pPr>
        <w:ind w:left="720"/>
        <w:rPr>
          <w:b/>
        </w:rPr>
      </w:pPr>
      <w:r>
        <w:rPr>
          <w:b/>
        </w:rPr>
        <w:t>F</w:t>
      </w:r>
      <w:r w:rsidRPr="009D2F9D">
        <w:rPr>
          <w:b/>
        </w:rPr>
        <w:t>aisceau de protons 4mA</w:t>
      </w:r>
      <w:r>
        <w:rPr>
          <w:b/>
        </w:rPr>
        <w:t xml:space="preserve"> </w:t>
      </w:r>
      <w:r w:rsidRPr="009D2F9D">
        <w:rPr>
          <w:b/>
        </w:rPr>
        <w:t xml:space="preserve"> 600MeV (double injecteur pour la redondance)</w:t>
      </w:r>
      <w:r>
        <w:rPr>
          <w:b/>
        </w:rPr>
        <w:t>, Linac froid</w:t>
      </w:r>
      <w:r w:rsidR="000A5125">
        <w:rPr>
          <w:b/>
        </w:rPr>
        <w:t>, RF continu mais faisceau pulsé pour  délivrer un faisceau pour le réacteur et un pour la ligne ISOL.</w:t>
      </w:r>
      <w:r w:rsidR="008A197E">
        <w:rPr>
          <w:b/>
        </w:rPr>
        <w:t xml:space="preserve"> Fiabilité demandée MTBF accélérateur  &gt; 250h sur une période de 3 mois.</w:t>
      </w:r>
    </w:p>
    <w:p w:rsidR="009D2F9D" w:rsidRDefault="009D2F9D" w:rsidP="009D2F9D">
      <w:pPr>
        <w:numPr>
          <w:ilvl w:val="0"/>
          <w:numId w:val="2"/>
        </w:numPr>
      </w:pPr>
      <w:r w:rsidRPr="00B512BF">
        <w:rPr>
          <w:b/>
        </w:rPr>
        <w:t xml:space="preserve">l’application de la machine/projet </w:t>
      </w:r>
      <w:r>
        <w:t xml:space="preserve">: donner l’activité scientifique réalisée (bio, médicale, </w:t>
      </w:r>
      <w:proofErr w:type="spellStart"/>
      <w:r>
        <w:t>physque</w:t>
      </w:r>
      <w:proofErr w:type="spellEnd"/>
      <w:r>
        <w:t xml:space="preserve">, </w:t>
      </w:r>
      <w:proofErr w:type="spellStart"/>
      <w:r>
        <w:t>astro</w:t>
      </w:r>
      <w:proofErr w:type="spellEnd"/>
      <w:r>
        <w:t xml:space="preserve">, indus, </w:t>
      </w:r>
      <w:proofErr w:type="spellStart"/>
      <w:r>
        <w:t>etc</w:t>
      </w:r>
      <w:proofErr w:type="spellEnd"/>
      <w:r>
        <w:t xml:space="preserve">…), </w:t>
      </w:r>
    </w:p>
    <w:p w:rsidR="009D2F9D" w:rsidRPr="0003202D" w:rsidRDefault="0003202D" w:rsidP="009D2F9D">
      <w:pPr>
        <w:ind w:left="720"/>
        <w:rPr>
          <w:b/>
        </w:rPr>
      </w:pPr>
      <w:r>
        <w:rPr>
          <w:b/>
        </w:rPr>
        <w:t>Dé</w:t>
      </w:r>
      <w:r w:rsidRPr="0003202D">
        <w:rPr>
          <w:b/>
        </w:rPr>
        <w:t>monstrateur</w:t>
      </w:r>
      <w:r w:rsidR="009D2F9D" w:rsidRPr="0003202D">
        <w:rPr>
          <w:b/>
        </w:rPr>
        <w:t xml:space="preserve"> de réacteur hybride (ADS) pour la transmutation des déchets radioactifs (actinides mineurs), production de radio isotopes pour la médecine et recherche fondamentale</w:t>
      </w:r>
    </w:p>
    <w:p w:rsidR="009D2F9D" w:rsidRDefault="009D2F9D" w:rsidP="009D2F9D">
      <w:pPr>
        <w:numPr>
          <w:ilvl w:val="0"/>
          <w:numId w:val="2"/>
        </w:numPr>
      </w:pPr>
      <w:r w:rsidRPr="00B512BF">
        <w:rPr>
          <w:b/>
        </w:rPr>
        <w:t>les technos utilisées</w:t>
      </w:r>
      <w:r>
        <w:t xml:space="preserve"> : décrire les éléments développés et la R&amp;D associée (par exemple cavités supra appuyé sur R&amp;D matériaux supra développée et R&amp;D associée), </w:t>
      </w:r>
    </w:p>
    <w:p w:rsidR="009D2F9D" w:rsidRDefault="00683547" w:rsidP="00407D17">
      <w:pPr>
        <w:ind w:left="720"/>
      </w:pPr>
      <w:r>
        <w:rPr>
          <w:b/>
        </w:rPr>
        <w:t xml:space="preserve">Cavités </w:t>
      </w:r>
      <w:r w:rsidR="000A5125">
        <w:rPr>
          <w:b/>
        </w:rPr>
        <w:t xml:space="preserve">supraconductrice </w:t>
      </w:r>
      <w:r>
        <w:rPr>
          <w:b/>
        </w:rPr>
        <w:t>SPOKE simple et double</w:t>
      </w:r>
      <w:r w:rsidR="000A5125">
        <w:rPr>
          <w:b/>
        </w:rPr>
        <w:t xml:space="preserve"> (IPNO), Cavité elliptique (IRFU)</w:t>
      </w:r>
      <w:r w:rsidR="009D2F9D" w:rsidRPr="0003202D">
        <w:rPr>
          <w:b/>
        </w:rPr>
        <w:t xml:space="preserve">, cryomodule fonctionnant à 2K, coupleurs RF de puissance, </w:t>
      </w:r>
      <w:r w:rsidR="0003202D" w:rsidRPr="0003202D">
        <w:rPr>
          <w:b/>
        </w:rPr>
        <w:t xml:space="preserve"> système cryogénique associé, </w:t>
      </w:r>
      <w:r w:rsidR="004D5388">
        <w:rPr>
          <w:b/>
        </w:rPr>
        <w:t xml:space="preserve">asservissement </w:t>
      </w:r>
      <w:r w:rsidR="0003202D" w:rsidRPr="0003202D">
        <w:rPr>
          <w:b/>
        </w:rPr>
        <w:t xml:space="preserve">LLRF et </w:t>
      </w:r>
      <w:r w:rsidR="004D5388">
        <w:rPr>
          <w:b/>
        </w:rPr>
        <w:t>diagnostics de faisceau (</w:t>
      </w:r>
      <w:r w:rsidR="0003202D" w:rsidRPr="0003202D">
        <w:rPr>
          <w:b/>
        </w:rPr>
        <w:t>BPM</w:t>
      </w:r>
      <w:r w:rsidR="00B02D08">
        <w:rPr>
          <w:b/>
        </w:rPr>
        <w:t>)</w:t>
      </w:r>
      <w:r w:rsidR="00407D17">
        <w:rPr>
          <w:b/>
        </w:rPr>
        <w:t xml:space="preserve"> et dynamique de faisceau</w:t>
      </w:r>
      <w:r w:rsidR="00B02D08">
        <w:rPr>
          <w:b/>
        </w:rPr>
        <w:t xml:space="preserve">. L’ensemble de ces éléments est soutenu par une R&amp;D interne au projet </w:t>
      </w:r>
      <w:r w:rsidR="00407D17">
        <w:rPr>
          <w:b/>
        </w:rPr>
        <w:t xml:space="preserve">MYRRHA  R&amp;D 100MeV comme son nom l’indique  mais aussi par des </w:t>
      </w:r>
      <w:r w:rsidR="00B02D08">
        <w:rPr>
          <w:b/>
        </w:rPr>
        <w:t>AP ou projets européens tel que MYRTE</w:t>
      </w:r>
      <w:r w:rsidR="00407D17">
        <w:rPr>
          <w:b/>
        </w:rPr>
        <w:t xml:space="preserve"> actuellement </w:t>
      </w:r>
      <w:r w:rsidR="00B02D08">
        <w:rPr>
          <w:b/>
        </w:rPr>
        <w:t xml:space="preserve"> </w:t>
      </w:r>
      <w:r w:rsidR="009D2F9D" w:rsidRPr="00B512BF">
        <w:rPr>
          <w:b/>
        </w:rPr>
        <w:t>métiers et compétences associés</w:t>
      </w:r>
      <w:r w:rsidR="009D2F9D">
        <w:t xml:space="preserve">, </w:t>
      </w:r>
    </w:p>
    <w:p w:rsidR="00407D17" w:rsidRPr="00407D17" w:rsidRDefault="00407D17" w:rsidP="00407D17">
      <w:pPr>
        <w:pStyle w:val="Paragraphedeliste"/>
        <w:numPr>
          <w:ilvl w:val="0"/>
          <w:numId w:val="2"/>
        </w:numPr>
        <w:rPr>
          <w:b/>
        </w:rPr>
      </w:pPr>
      <w:r w:rsidRPr="00407D17">
        <w:rPr>
          <w:b/>
        </w:rPr>
        <w:t>métiers et compétences associés</w:t>
      </w:r>
      <w:r>
        <w:rPr>
          <w:b/>
        </w:rPr>
        <w:t> :</w:t>
      </w:r>
    </w:p>
    <w:p w:rsidR="0003202D" w:rsidRDefault="0003202D" w:rsidP="0003202D">
      <w:pPr>
        <w:ind w:left="720"/>
      </w:pPr>
      <w:r>
        <w:rPr>
          <w:b/>
        </w:rPr>
        <w:t xml:space="preserve">RF (Simulations électromagnétiques pour conception cavités et coupleurs &amp; front end RF),  Cryogénie, Vide, Thermique et Mécanique (conception boite à vanne et </w:t>
      </w:r>
      <w:proofErr w:type="gramStart"/>
      <w:r>
        <w:rPr>
          <w:b/>
        </w:rPr>
        <w:t>cryomodule ,</w:t>
      </w:r>
      <w:proofErr w:type="gramEnd"/>
      <w:r>
        <w:rPr>
          <w:b/>
        </w:rPr>
        <w:t xml:space="preserve"> Electronique ( LLRF et C&amp;C), Chimie (traitements de surface ), …</w:t>
      </w:r>
    </w:p>
    <w:p w:rsidR="009D2F9D" w:rsidRDefault="009D2F9D" w:rsidP="009D2F9D">
      <w:pPr>
        <w:numPr>
          <w:ilvl w:val="0"/>
          <w:numId w:val="2"/>
        </w:numPr>
      </w:pPr>
      <w:r w:rsidRPr="00B512BF">
        <w:rPr>
          <w:b/>
        </w:rPr>
        <w:t>RH</w:t>
      </w:r>
      <w:r>
        <w:t xml:space="preserve"> (utilisées et/ou besoins), </w:t>
      </w:r>
    </w:p>
    <w:p w:rsidR="0003202D" w:rsidRDefault="000A5125" w:rsidP="0003202D">
      <w:pPr>
        <w:ind w:left="720"/>
      </w:pPr>
      <w:r>
        <w:rPr>
          <w:b/>
        </w:rPr>
        <w:t>~ 5.5 ETP /</w:t>
      </w:r>
      <w:r w:rsidR="0003202D">
        <w:rPr>
          <w:b/>
        </w:rPr>
        <w:t>an pendant les 3 ans à venir pour la première phase : R&amp;D 100MeV.</w:t>
      </w:r>
    </w:p>
    <w:p w:rsidR="009D2F9D" w:rsidRDefault="009D2F9D" w:rsidP="009D2F9D">
      <w:pPr>
        <w:numPr>
          <w:ilvl w:val="0"/>
          <w:numId w:val="2"/>
        </w:numPr>
      </w:pPr>
      <w:r w:rsidRPr="00B512BF">
        <w:rPr>
          <w:b/>
        </w:rPr>
        <w:t>collaborations</w:t>
      </w:r>
      <w:r>
        <w:t xml:space="preserve">, </w:t>
      </w:r>
    </w:p>
    <w:p w:rsidR="00D810AA" w:rsidRDefault="00683547" w:rsidP="0003202D">
      <w:pPr>
        <w:ind w:left="720"/>
        <w:rPr>
          <w:b/>
        </w:rPr>
      </w:pPr>
      <w:r>
        <w:rPr>
          <w:b/>
        </w:rPr>
        <w:t>MYRTE </w:t>
      </w:r>
      <w:proofErr w:type="gramStart"/>
      <w:r w:rsidR="00D810AA">
        <w:rPr>
          <w:b/>
        </w:rPr>
        <w:t>(</w:t>
      </w:r>
      <w:r>
        <w:rPr>
          <w:b/>
        </w:rPr>
        <w:t xml:space="preserve"> projet</w:t>
      </w:r>
      <w:proofErr w:type="gramEnd"/>
      <w:r>
        <w:rPr>
          <w:b/>
        </w:rPr>
        <w:t xml:space="preserve"> européen</w:t>
      </w:r>
      <w:r w:rsidR="00D810AA">
        <w:rPr>
          <w:b/>
        </w:rPr>
        <w:t>) et projet MYRRHA R&amp;D 100MeV  (projet Belge)</w:t>
      </w:r>
    </w:p>
    <w:p w:rsidR="0003202D" w:rsidRPr="0003202D" w:rsidRDefault="0003202D" w:rsidP="0003202D">
      <w:pPr>
        <w:ind w:left="720"/>
      </w:pPr>
      <w:r w:rsidRPr="0003202D">
        <w:rPr>
          <w:b/>
        </w:rPr>
        <w:t>Collaboration IN2P3 (IPNO, LPSC, LAL, IPHC</w:t>
      </w:r>
      <w:proofErr w:type="gramStart"/>
      <w:r w:rsidRPr="0003202D">
        <w:rPr>
          <w:b/>
        </w:rPr>
        <w:t xml:space="preserve">) </w:t>
      </w:r>
      <w:r w:rsidR="00D810AA">
        <w:rPr>
          <w:b/>
        </w:rPr>
        <w:t>,</w:t>
      </w:r>
      <w:r w:rsidRPr="0003202D">
        <w:rPr>
          <w:b/>
        </w:rPr>
        <w:t>le</w:t>
      </w:r>
      <w:proofErr w:type="gramEnd"/>
      <w:r w:rsidRPr="0003202D">
        <w:rPr>
          <w:b/>
        </w:rPr>
        <w:t xml:space="preserve"> SCK CEN</w:t>
      </w:r>
      <w:r w:rsidR="00D810AA">
        <w:rPr>
          <w:b/>
        </w:rPr>
        <w:t>,</w:t>
      </w:r>
      <w:r w:rsidRPr="0003202D">
        <w:rPr>
          <w:b/>
        </w:rPr>
        <w:t xml:space="preserve"> IAP Francfort, BEVATECH, NTG, ACS, ADEX, IBA,…</w:t>
      </w:r>
    </w:p>
    <w:p w:rsidR="009D2F9D" w:rsidRDefault="009D2F9D" w:rsidP="009D2F9D">
      <w:pPr>
        <w:numPr>
          <w:ilvl w:val="0"/>
          <w:numId w:val="2"/>
        </w:numPr>
      </w:pPr>
      <w:r w:rsidRPr="00B512BF">
        <w:rPr>
          <w:b/>
        </w:rPr>
        <w:lastRenderedPageBreak/>
        <w:t>livrables/échéances</w:t>
      </w:r>
      <w:r>
        <w:t xml:space="preserve"> : </w:t>
      </w:r>
      <w:proofErr w:type="spellStart"/>
      <w:r>
        <w:t>explicter</w:t>
      </w:r>
      <w:proofErr w:type="spellEnd"/>
      <w:r>
        <w:t xml:space="preserve"> par exemple l’implication dans les phases du cycle de vie (Design, conception/étude, Fabrication, Install, </w:t>
      </w:r>
      <w:proofErr w:type="spellStart"/>
      <w:r>
        <w:t>Commissioning</w:t>
      </w:r>
      <w:proofErr w:type="spellEnd"/>
      <w:r>
        <w:t>, exploitation, Upgrade…</w:t>
      </w:r>
      <w:proofErr w:type="gramStart"/>
      <w:r>
        <w:t>) ,</w:t>
      </w:r>
      <w:proofErr w:type="gramEnd"/>
    </w:p>
    <w:p w:rsidR="00683547" w:rsidRDefault="00683547" w:rsidP="00683547">
      <w:pPr>
        <w:ind w:left="720"/>
        <w:rPr>
          <w:b/>
        </w:rPr>
      </w:pPr>
      <w:r>
        <w:rPr>
          <w:b/>
        </w:rPr>
        <w:t>1</w:t>
      </w:r>
      <w:r w:rsidRPr="00683547">
        <w:rPr>
          <w:b/>
          <w:vertAlign w:val="superscript"/>
        </w:rPr>
        <w:t>ère</w:t>
      </w:r>
      <w:r>
        <w:rPr>
          <w:b/>
        </w:rPr>
        <w:t xml:space="preserve"> échéance</w:t>
      </w:r>
      <w:r w:rsidR="00D810AA">
        <w:rPr>
          <w:b/>
        </w:rPr>
        <w:t xml:space="preserve"> MYRTE </w:t>
      </w:r>
      <w:r w:rsidR="00D810AA" w:rsidRPr="00D810AA">
        <w:rPr>
          <w:b/>
        </w:rPr>
        <w:sym w:font="Wingdings" w:char="F0E0"/>
      </w:r>
      <w:r w:rsidR="00D810AA">
        <w:rPr>
          <w:b/>
        </w:rPr>
        <w:t xml:space="preserve"> prototype RFQ en 2018</w:t>
      </w:r>
    </w:p>
    <w:p w:rsidR="000A5125" w:rsidRDefault="00D810AA" w:rsidP="00683547">
      <w:pPr>
        <w:ind w:left="720"/>
        <w:rPr>
          <w:b/>
        </w:rPr>
      </w:pPr>
      <w:r>
        <w:rPr>
          <w:b/>
        </w:rPr>
        <w:t>2</w:t>
      </w:r>
      <w:r w:rsidRPr="00D810AA">
        <w:rPr>
          <w:b/>
          <w:vertAlign w:val="superscript"/>
        </w:rPr>
        <w:t>ème</w:t>
      </w:r>
      <w:r>
        <w:rPr>
          <w:b/>
        </w:rPr>
        <w:t xml:space="preserve"> échéance : </w:t>
      </w:r>
      <w:r w:rsidR="000A5125">
        <w:rPr>
          <w:b/>
        </w:rPr>
        <w:t>Conception et réalisation :</w:t>
      </w:r>
    </w:p>
    <w:p w:rsidR="000A5125" w:rsidRDefault="000A5125" w:rsidP="00683547">
      <w:pPr>
        <w:ind w:left="720"/>
        <w:rPr>
          <w:b/>
        </w:rPr>
      </w:pPr>
      <w:r>
        <w:rPr>
          <w:b/>
        </w:rPr>
        <w:t xml:space="preserve">- D’un </w:t>
      </w:r>
      <w:r w:rsidR="00D810AA">
        <w:rPr>
          <w:b/>
        </w:rPr>
        <w:t>cryomodule</w:t>
      </w:r>
      <w:r>
        <w:rPr>
          <w:b/>
        </w:rPr>
        <w:t xml:space="preserve"> prototype</w:t>
      </w:r>
      <w:r w:rsidR="00D810AA">
        <w:rPr>
          <w:b/>
        </w:rPr>
        <w:t xml:space="preserve"> </w:t>
      </w:r>
      <w:r>
        <w:rPr>
          <w:b/>
        </w:rPr>
        <w:t xml:space="preserve">avec </w:t>
      </w:r>
      <w:r w:rsidR="00D810AA">
        <w:rPr>
          <w:b/>
        </w:rPr>
        <w:t xml:space="preserve">2 cavités Simple SPOKE avec coupleurs RF, </w:t>
      </w:r>
    </w:p>
    <w:p w:rsidR="000A5125" w:rsidRDefault="000A5125" w:rsidP="00683547">
      <w:pPr>
        <w:ind w:left="720"/>
        <w:rPr>
          <w:b/>
        </w:rPr>
      </w:pPr>
      <w:r>
        <w:rPr>
          <w:b/>
        </w:rPr>
        <w:t>-D’un  b</w:t>
      </w:r>
      <w:r w:rsidR="00D810AA">
        <w:rPr>
          <w:b/>
        </w:rPr>
        <w:t xml:space="preserve">anc de test instrumentation pour 2020, </w:t>
      </w:r>
    </w:p>
    <w:p w:rsidR="000A5125" w:rsidRDefault="000A5125" w:rsidP="00683547">
      <w:pPr>
        <w:ind w:left="720"/>
        <w:rPr>
          <w:b/>
        </w:rPr>
      </w:pPr>
      <w:r>
        <w:rPr>
          <w:b/>
        </w:rPr>
        <w:t>-</w:t>
      </w:r>
      <w:r w:rsidR="00D810AA">
        <w:rPr>
          <w:b/>
        </w:rPr>
        <w:t>2 BPM pour le linac avec électroniques  associées</w:t>
      </w:r>
    </w:p>
    <w:p w:rsidR="00D810AA" w:rsidRDefault="00D810AA" w:rsidP="00683547">
      <w:pPr>
        <w:ind w:left="720"/>
        <w:rPr>
          <w:b/>
        </w:rPr>
      </w:pPr>
      <w:r>
        <w:rPr>
          <w:b/>
        </w:rPr>
        <w:t xml:space="preserve"> </w:t>
      </w:r>
      <w:r w:rsidR="000A5125">
        <w:rPr>
          <w:b/>
        </w:rPr>
        <w:t>-</w:t>
      </w:r>
      <w:r>
        <w:rPr>
          <w:b/>
        </w:rPr>
        <w:t>2 systèmes numériques LLRF.</w:t>
      </w:r>
    </w:p>
    <w:p w:rsidR="000A5125" w:rsidRDefault="000A5125" w:rsidP="00683547">
      <w:pPr>
        <w:ind w:left="720"/>
      </w:pPr>
      <w:r>
        <w:rPr>
          <w:b/>
        </w:rPr>
        <w:t>3</w:t>
      </w:r>
      <w:r w:rsidRPr="000A5125">
        <w:rPr>
          <w:b/>
          <w:vertAlign w:val="superscript"/>
        </w:rPr>
        <w:t>ème</w:t>
      </w:r>
      <w:r>
        <w:rPr>
          <w:b/>
        </w:rPr>
        <w:t xml:space="preserve"> échéance : construction de l’accélérateur jusqu’à 100MeV (décision fin 2017) pour 2022 avec ensuite 2 années de tests de fiabilité</w:t>
      </w:r>
      <w:r w:rsidR="008A197E">
        <w:rPr>
          <w:b/>
        </w:rPr>
        <w:t xml:space="preserve"> …</w:t>
      </w:r>
    </w:p>
    <w:p w:rsidR="009D2F9D" w:rsidRDefault="009D2F9D" w:rsidP="009D2F9D">
      <w:pPr>
        <w:numPr>
          <w:ilvl w:val="0"/>
          <w:numId w:val="2"/>
        </w:numPr>
      </w:pPr>
      <w:r w:rsidRPr="00B512BF">
        <w:rPr>
          <w:b/>
        </w:rPr>
        <w:t>infrastructures utilisées</w:t>
      </w:r>
      <w:r>
        <w:t xml:space="preserve">, </w:t>
      </w:r>
    </w:p>
    <w:p w:rsidR="000A5125" w:rsidRDefault="000A5125" w:rsidP="000A5125">
      <w:pPr>
        <w:ind w:left="720"/>
      </w:pPr>
      <w:r>
        <w:rPr>
          <w:b/>
        </w:rPr>
        <w:t xml:space="preserve">Plateforme </w:t>
      </w:r>
      <w:proofErr w:type="spellStart"/>
      <w:r>
        <w:rPr>
          <w:b/>
        </w:rPr>
        <w:t>Supratech</w:t>
      </w:r>
      <w:proofErr w:type="spellEnd"/>
      <w:r>
        <w:rPr>
          <w:b/>
        </w:rPr>
        <w:t>, Installation pour conditionnement de coupleur du LAL,</w:t>
      </w:r>
    </w:p>
    <w:p w:rsidR="009D2F9D" w:rsidRDefault="009D2F9D" w:rsidP="009D2F9D">
      <w:pPr>
        <w:numPr>
          <w:ilvl w:val="0"/>
          <w:numId w:val="2"/>
        </w:numPr>
      </w:pPr>
      <w:r w:rsidRPr="00B512BF">
        <w:rPr>
          <w:b/>
        </w:rPr>
        <w:t>retombées/perspectives/synergies</w:t>
      </w:r>
      <w:r>
        <w:t xml:space="preserve"> avec autres GT…</w:t>
      </w:r>
    </w:p>
    <w:p w:rsidR="000A5125" w:rsidRDefault="000A5125" w:rsidP="000A5125">
      <w:pPr>
        <w:ind w:left="720"/>
      </w:pPr>
      <w:r>
        <w:rPr>
          <w:b/>
        </w:rPr>
        <w:t>??</w:t>
      </w:r>
    </w:p>
    <w:p w:rsidR="009D2F9D" w:rsidRDefault="009D2F9D" w:rsidP="009D2F9D">
      <w:pPr>
        <w:numPr>
          <w:ilvl w:val="0"/>
          <w:numId w:val="2"/>
        </w:numPr>
      </w:pPr>
      <w:r w:rsidRPr="00B512BF">
        <w:rPr>
          <w:b/>
        </w:rPr>
        <w:t>Autre</w:t>
      </w:r>
      <w:r>
        <w:t xml:space="preserve"> </w:t>
      </w:r>
    </w:p>
    <w:p w:rsidR="004F31B4" w:rsidRDefault="004F31B4"/>
    <w:sectPr w:rsidR="004F31B4" w:rsidSect="004F31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C3342"/>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
    <w:nsid w:val="6DE2355D"/>
    <w:multiLevelType w:val="hybridMultilevel"/>
    <w:tmpl w:val="67687A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2F9D"/>
    <w:rsid w:val="0003202D"/>
    <w:rsid w:val="000A5125"/>
    <w:rsid w:val="00275888"/>
    <w:rsid w:val="00290C14"/>
    <w:rsid w:val="00294C14"/>
    <w:rsid w:val="002A6CFC"/>
    <w:rsid w:val="003975A1"/>
    <w:rsid w:val="003E22BD"/>
    <w:rsid w:val="003E7301"/>
    <w:rsid w:val="00407D17"/>
    <w:rsid w:val="004D5388"/>
    <w:rsid w:val="004F31B4"/>
    <w:rsid w:val="00543A1E"/>
    <w:rsid w:val="005F1EA9"/>
    <w:rsid w:val="00683547"/>
    <w:rsid w:val="008A197E"/>
    <w:rsid w:val="008F5374"/>
    <w:rsid w:val="009D2F9D"/>
    <w:rsid w:val="00B02D08"/>
    <w:rsid w:val="00C43A2A"/>
    <w:rsid w:val="00D810AA"/>
    <w:rsid w:val="00DF549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16"/>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F9D"/>
    <w:rPr>
      <w:rFonts w:ascii="Calibri" w:eastAsia="Calibri" w:hAnsi="Calibri" w:cs="Times New Roman"/>
      <w:sz w:val="22"/>
    </w:rPr>
  </w:style>
  <w:style w:type="paragraph" w:styleId="Titre1">
    <w:name w:val="heading 1"/>
    <w:basedOn w:val="Normal"/>
    <w:next w:val="Normal"/>
    <w:link w:val="Titre1Car"/>
    <w:uiPriority w:val="9"/>
    <w:qFormat/>
    <w:rsid w:val="009D2F9D"/>
    <w:pPr>
      <w:keepNext/>
      <w:numPr>
        <w:numId w:val="1"/>
      </w:numPr>
      <w:spacing w:before="240" w:after="60"/>
      <w:outlineLvl w:val="0"/>
    </w:pPr>
    <w:rPr>
      <w:rFonts w:ascii="Calibri Light" w:eastAsia="Times New Roman" w:hAnsi="Calibri Light"/>
      <w:b/>
      <w:bCs/>
      <w:kern w:val="32"/>
      <w:sz w:val="32"/>
      <w:szCs w:val="32"/>
    </w:rPr>
  </w:style>
  <w:style w:type="paragraph" w:styleId="Titre2">
    <w:name w:val="heading 2"/>
    <w:basedOn w:val="Normal"/>
    <w:next w:val="Normal"/>
    <w:link w:val="Titre2Car"/>
    <w:uiPriority w:val="9"/>
    <w:semiHidden/>
    <w:unhideWhenUsed/>
    <w:qFormat/>
    <w:rsid w:val="009D2F9D"/>
    <w:pPr>
      <w:keepNext/>
      <w:numPr>
        <w:ilvl w:val="1"/>
        <w:numId w:val="1"/>
      </w:numPr>
      <w:spacing w:before="240" w:after="60"/>
      <w:outlineLvl w:val="1"/>
    </w:pPr>
    <w:rPr>
      <w:rFonts w:ascii="Calibri Light" w:eastAsia="Times New Roman" w:hAnsi="Calibri Light"/>
      <w:b/>
      <w:bCs/>
      <w:i/>
      <w:iCs/>
      <w:sz w:val="28"/>
      <w:szCs w:val="28"/>
    </w:rPr>
  </w:style>
  <w:style w:type="paragraph" w:styleId="Titre3">
    <w:name w:val="heading 3"/>
    <w:basedOn w:val="Normal"/>
    <w:next w:val="Normal"/>
    <w:link w:val="Titre3Car"/>
    <w:uiPriority w:val="9"/>
    <w:semiHidden/>
    <w:unhideWhenUsed/>
    <w:qFormat/>
    <w:rsid w:val="009D2F9D"/>
    <w:pPr>
      <w:keepNext/>
      <w:numPr>
        <w:ilvl w:val="2"/>
        <w:numId w:val="1"/>
      </w:numPr>
      <w:spacing w:before="240" w:after="60"/>
      <w:outlineLvl w:val="2"/>
    </w:pPr>
    <w:rPr>
      <w:rFonts w:ascii="Calibri Light" w:eastAsia="Times New Roman" w:hAnsi="Calibri Light"/>
      <w:b/>
      <w:bCs/>
      <w:sz w:val="26"/>
      <w:szCs w:val="26"/>
    </w:rPr>
  </w:style>
  <w:style w:type="paragraph" w:styleId="Titre4">
    <w:name w:val="heading 4"/>
    <w:basedOn w:val="Normal"/>
    <w:next w:val="Normal"/>
    <w:link w:val="Titre4Car"/>
    <w:uiPriority w:val="9"/>
    <w:semiHidden/>
    <w:unhideWhenUsed/>
    <w:qFormat/>
    <w:rsid w:val="009D2F9D"/>
    <w:pPr>
      <w:keepNext/>
      <w:numPr>
        <w:ilvl w:val="3"/>
        <w:numId w:val="1"/>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9D2F9D"/>
    <w:pPr>
      <w:numPr>
        <w:ilvl w:val="4"/>
        <w:numId w:val="1"/>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9D2F9D"/>
    <w:pPr>
      <w:numPr>
        <w:ilvl w:val="5"/>
        <w:numId w:val="1"/>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9D2F9D"/>
    <w:pPr>
      <w:numPr>
        <w:ilvl w:val="6"/>
        <w:numId w:val="1"/>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9D2F9D"/>
    <w:pPr>
      <w:numPr>
        <w:ilvl w:val="7"/>
        <w:numId w:val="1"/>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9D2F9D"/>
    <w:pPr>
      <w:numPr>
        <w:ilvl w:val="8"/>
        <w:numId w:val="1"/>
      </w:numPr>
      <w:spacing w:before="240" w:after="60"/>
      <w:outlineLvl w:val="8"/>
    </w:pPr>
    <w:rPr>
      <w:rFonts w:ascii="Calibri Light" w:eastAsia="Times New Roman" w:hAnsi="Calibri Light"/>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2F9D"/>
    <w:rPr>
      <w:rFonts w:ascii="Calibri Light" w:eastAsia="Times New Roman" w:hAnsi="Calibri Light" w:cs="Times New Roman"/>
      <w:b/>
      <w:bCs/>
      <w:kern w:val="32"/>
      <w:sz w:val="32"/>
      <w:szCs w:val="32"/>
    </w:rPr>
  </w:style>
  <w:style w:type="character" w:customStyle="1" w:styleId="Titre2Car">
    <w:name w:val="Titre 2 Car"/>
    <w:basedOn w:val="Policepardfaut"/>
    <w:link w:val="Titre2"/>
    <w:uiPriority w:val="9"/>
    <w:semiHidden/>
    <w:rsid w:val="009D2F9D"/>
    <w:rPr>
      <w:rFonts w:ascii="Calibri Light" w:eastAsia="Times New Roman" w:hAnsi="Calibri Light" w:cs="Times New Roman"/>
      <w:b/>
      <w:bCs/>
      <w:i/>
      <w:iCs/>
      <w:sz w:val="28"/>
      <w:szCs w:val="28"/>
    </w:rPr>
  </w:style>
  <w:style w:type="character" w:customStyle="1" w:styleId="Titre3Car">
    <w:name w:val="Titre 3 Car"/>
    <w:basedOn w:val="Policepardfaut"/>
    <w:link w:val="Titre3"/>
    <w:uiPriority w:val="9"/>
    <w:semiHidden/>
    <w:rsid w:val="009D2F9D"/>
    <w:rPr>
      <w:rFonts w:ascii="Calibri Light" w:eastAsia="Times New Roman" w:hAnsi="Calibri Light" w:cs="Times New Roman"/>
      <w:b/>
      <w:bCs/>
      <w:sz w:val="26"/>
      <w:szCs w:val="26"/>
    </w:rPr>
  </w:style>
  <w:style w:type="character" w:customStyle="1" w:styleId="Titre4Car">
    <w:name w:val="Titre 4 Car"/>
    <w:basedOn w:val="Policepardfaut"/>
    <w:link w:val="Titre4"/>
    <w:uiPriority w:val="9"/>
    <w:semiHidden/>
    <w:rsid w:val="009D2F9D"/>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9D2F9D"/>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9D2F9D"/>
    <w:rPr>
      <w:rFonts w:ascii="Calibri" w:eastAsia="Times New Roman" w:hAnsi="Calibri" w:cs="Times New Roman"/>
      <w:b/>
      <w:bCs/>
      <w:sz w:val="22"/>
    </w:rPr>
  </w:style>
  <w:style w:type="character" w:customStyle="1" w:styleId="Titre7Car">
    <w:name w:val="Titre 7 Car"/>
    <w:basedOn w:val="Policepardfaut"/>
    <w:link w:val="Titre7"/>
    <w:uiPriority w:val="9"/>
    <w:semiHidden/>
    <w:rsid w:val="009D2F9D"/>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9D2F9D"/>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9D2F9D"/>
    <w:rPr>
      <w:rFonts w:ascii="Calibri Light" w:eastAsia="Times New Roman" w:hAnsi="Calibri Light" w:cs="Times New Roman"/>
      <w:sz w:val="22"/>
    </w:rPr>
  </w:style>
  <w:style w:type="paragraph" w:styleId="Paragraphedeliste">
    <w:name w:val="List Paragraph"/>
    <w:basedOn w:val="Normal"/>
    <w:uiPriority w:val="34"/>
    <w:qFormat/>
    <w:rsid w:val="00407D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440</Words>
  <Characters>2421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joly</dc:creator>
  <cp:lastModifiedBy>joly</cp:lastModifiedBy>
  <cp:revision>7</cp:revision>
  <dcterms:created xsi:type="dcterms:W3CDTF">2017-05-15T13:56:00Z</dcterms:created>
  <dcterms:modified xsi:type="dcterms:W3CDTF">2017-05-16T12:42:00Z</dcterms:modified>
</cp:coreProperties>
</file>