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20" w:rsidRPr="0026376A" w:rsidRDefault="00E54020" w:rsidP="0026376A">
      <w:pPr>
        <w:spacing w:line="312" w:lineRule="auto"/>
        <w:jc w:val="both"/>
        <w:rPr>
          <w:sz w:val="26"/>
          <w:szCs w:val="26"/>
        </w:rPr>
      </w:pPr>
      <w:bookmarkStart w:id="0" w:name="_GoBack"/>
      <w:bookmarkEnd w:id="0"/>
      <w:r w:rsidRPr="0026376A">
        <w:rPr>
          <w:b/>
          <w:sz w:val="26"/>
          <w:szCs w:val="26"/>
        </w:rPr>
        <w:t>Source</w:t>
      </w:r>
      <w:r w:rsidRPr="0026376A">
        <w:rPr>
          <w:sz w:val="26"/>
          <w:szCs w:val="26"/>
        </w:rPr>
        <w:t xml:space="preserve"> : </w:t>
      </w:r>
      <w:r w:rsidRPr="0026376A">
        <w:rPr>
          <w:sz w:val="26"/>
          <w:szCs w:val="26"/>
        </w:rPr>
        <w:t>Stratégie unifiée de recherche</w:t>
      </w:r>
      <w:r w:rsidRPr="0026376A">
        <w:rPr>
          <w:sz w:val="26"/>
          <w:szCs w:val="26"/>
        </w:rPr>
        <w:t xml:space="preserve"> </w:t>
      </w:r>
      <w:r w:rsidRPr="0026376A">
        <w:rPr>
          <w:sz w:val="26"/>
          <w:szCs w:val="26"/>
        </w:rPr>
        <w:t>Département P2I, Université Paris-Saclay</w:t>
      </w:r>
      <w:r w:rsidRPr="0026376A">
        <w:rPr>
          <w:sz w:val="26"/>
          <w:szCs w:val="26"/>
        </w:rPr>
        <w:t xml:space="preserve"> (15/03/2017)</w:t>
      </w:r>
    </w:p>
    <w:p w:rsidR="00E54020" w:rsidRPr="0026376A" w:rsidRDefault="00E54020" w:rsidP="0026376A">
      <w:pPr>
        <w:spacing w:line="312" w:lineRule="auto"/>
        <w:jc w:val="both"/>
        <w:rPr>
          <w:sz w:val="26"/>
          <w:szCs w:val="26"/>
        </w:rPr>
      </w:pPr>
      <w:r w:rsidRPr="0026376A">
        <w:rPr>
          <w:b/>
          <w:sz w:val="26"/>
          <w:szCs w:val="26"/>
        </w:rPr>
        <w:t>Attention</w:t>
      </w:r>
      <w:r w:rsidRPr="0026376A">
        <w:rPr>
          <w:sz w:val="26"/>
          <w:szCs w:val="26"/>
        </w:rPr>
        <w:t xml:space="preserve"> : Les laboratoires P2I impliqués dans cette thématique sont : IPNO, LAL, IRFU/SACM, IRFU/SIS, SOLEIL et LCP. </w:t>
      </w:r>
      <w:r w:rsidRPr="0026376A">
        <w:rPr>
          <w:sz w:val="26"/>
          <w:szCs w:val="26"/>
        </w:rPr>
        <w:t>Le Département P2I regroupe environ 1500 personnes réparties sur 16 unités pilotées par 4</w:t>
      </w:r>
      <w:r w:rsidRPr="0026376A">
        <w:rPr>
          <w:sz w:val="26"/>
          <w:szCs w:val="26"/>
        </w:rPr>
        <w:t xml:space="preserve"> </w:t>
      </w:r>
      <w:r w:rsidRPr="0026376A">
        <w:rPr>
          <w:sz w:val="26"/>
          <w:szCs w:val="26"/>
        </w:rPr>
        <w:t>tutelles : CEA, CNRS, École Polytechnique, Université Paris-Sud.</w:t>
      </w:r>
    </w:p>
    <w:p w:rsidR="00E54020" w:rsidRPr="0026376A" w:rsidRDefault="00E54020" w:rsidP="0026376A">
      <w:pPr>
        <w:spacing w:line="312" w:lineRule="auto"/>
        <w:jc w:val="both"/>
        <w:rPr>
          <w:b/>
        </w:rPr>
      </w:pPr>
      <w:r w:rsidRPr="0026376A">
        <w:rPr>
          <w:b/>
        </w:rPr>
        <w:t>I - Etat de l’art / Défis :</w:t>
      </w:r>
    </w:p>
    <w:p w:rsidR="009B5C23" w:rsidRDefault="00E54020" w:rsidP="0026376A">
      <w:pPr>
        <w:spacing w:line="312" w:lineRule="auto"/>
        <w:jc w:val="both"/>
      </w:pPr>
      <w:r>
        <w:t>Accélérateurs et technologies associées</w:t>
      </w:r>
    </w:p>
    <w:p w:rsidR="00E54020" w:rsidRDefault="00E54020" w:rsidP="0026376A">
      <w:pPr>
        <w:spacing w:line="312" w:lineRule="auto"/>
        <w:jc w:val="both"/>
      </w:pPr>
      <w:r>
        <w:t>Du fait des énergies qu'elle entreprend d'étudier, la physique subatomiq</w:t>
      </w:r>
      <w:r>
        <w:t xml:space="preserve">ue repose sur un outil de base, </w:t>
      </w:r>
      <w:r>
        <w:t>l’accélérateur de particules. La physique et la technologie des accél</w:t>
      </w:r>
      <w:r>
        <w:t xml:space="preserve">érateurs forment une discipline </w:t>
      </w:r>
      <w:r>
        <w:t>scientifique qui vise à produire des faisceaux de particules chargées</w:t>
      </w:r>
      <w:r>
        <w:t xml:space="preserve"> au service d’applications très </w:t>
      </w:r>
      <w:r>
        <w:t>diverses en physique des particules et physique nucléaire et d’applications spécifiques dans les domaines</w:t>
      </w:r>
      <w:r>
        <w:t xml:space="preserve"> </w:t>
      </w:r>
      <w:r>
        <w:t>de la santé, de l’énergie et de l’industrie.</w:t>
      </w:r>
    </w:p>
    <w:p w:rsidR="00E54020" w:rsidRDefault="00E54020" w:rsidP="0026376A">
      <w:pPr>
        <w:spacing w:line="312" w:lineRule="auto"/>
        <w:jc w:val="both"/>
      </w:pPr>
      <w:r>
        <w:t>Les laboratoires rattachés à P2I sont leaders en France et reconnus internationalement pour la</w:t>
      </w:r>
      <w:r>
        <w:t xml:space="preserve"> </w:t>
      </w:r>
      <w:r>
        <w:t>conception et la réalisation d’accélérateurs utilisant les technologies dites chaudes ou celles</w:t>
      </w:r>
      <w:r>
        <w:t xml:space="preserve"> </w:t>
      </w:r>
      <w:r>
        <w:t>supraconductrices. Dotés de plateformes technologiques de grande envergure (SUPRATECH et</w:t>
      </w:r>
      <w:r>
        <w:t xml:space="preserve"> </w:t>
      </w:r>
      <w:proofErr w:type="spellStart"/>
      <w:r>
        <w:t>Synergium</w:t>
      </w:r>
      <w:proofErr w:type="spellEnd"/>
      <w:r>
        <w:t xml:space="preserve"> en particulier) et opérant localement plusieurs accélérateurs (ALTO, CLIO, Elsa, </w:t>
      </w:r>
      <w:proofErr w:type="spellStart"/>
      <w:r>
        <w:t>Elyse</w:t>
      </w:r>
      <w:proofErr w:type="spellEnd"/>
      <w:r>
        <w:t>,</w:t>
      </w:r>
      <w:r>
        <w:t xml:space="preserve"> </w:t>
      </w:r>
      <w:r>
        <w:t>SCALP/</w:t>
      </w:r>
      <w:proofErr w:type="spellStart"/>
      <w:r>
        <w:t>JANNuS</w:t>
      </w:r>
      <w:proofErr w:type="spellEnd"/>
      <w:r>
        <w:t>-Orsay, PHIL, SOLEIL), ils jouent un rôle majeur dans les projets de construction des</w:t>
      </w:r>
      <w:r>
        <w:t xml:space="preserve"> </w:t>
      </w:r>
      <w:r>
        <w:t>accélérateurs internationaux de très haute énergie recouvrant un rôle crucial dans la construction du</w:t>
      </w:r>
      <w:r>
        <w:t xml:space="preserve"> </w:t>
      </w:r>
      <w:r>
        <w:t>LHC,</w:t>
      </w:r>
      <w:r>
        <w:t xml:space="preserve"> </w:t>
      </w:r>
      <w:r>
        <w:t>la conception du future FCC et le développement de la technologie pour les futurs collisionneurs</w:t>
      </w:r>
      <w:r>
        <w:t xml:space="preserve"> </w:t>
      </w:r>
      <w:r>
        <w:t>linéaires. La participation à la production des coupleurs et à l’intégration des cryostats pour le projet</w:t>
      </w:r>
      <w:r>
        <w:t xml:space="preserve"> </w:t>
      </w:r>
      <w:r>
        <w:t>XFEL est un exceptionnel banc de test pour l’ILC. Dans le cadre de CLIC, il faut rappeler la plateforme</w:t>
      </w:r>
      <w:r>
        <w:t xml:space="preserve"> </w:t>
      </w:r>
      <w:r>
        <w:t>de test de canon de forte brillance PHIL et le design de la source de positrons. Les laboratoires P2I sont</w:t>
      </w:r>
      <w:r>
        <w:t xml:space="preserve"> </w:t>
      </w:r>
      <w:r>
        <w:t>aussi très impliqués dans la réalisation et l’utilisation des sources à très forte brillance comme SOLEIL</w:t>
      </w:r>
      <w:r>
        <w:t xml:space="preserve"> </w:t>
      </w:r>
      <w:r>
        <w:t>et</w:t>
      </w:r>
      <w:r>
        <w:t xml:space="preserve"> </w:t>
      </w:r>
      <w:r>
        <w:t>dans la conception de sources de lumière de</w:t>
      </w:r>
      <w:r>
        <w:t xml:space="preserve"> </w:t>
      </w:r>
      <w:r>
        <w:t>5ème génération (Lunex5). Ils jouent</w:t>
      </w:r>
      <w:r>
        <w:t xml:space="preserve"> </w:t>
      </w:r>
      <w:r>
        <w:t>également un</w:t>
      </w:r>
      <w:r>
        <w:t xml:space="preserve"> </w:t>
      </w:r>
      <w:r>
        <w:t>rôle majeur dans les projets</w:t>
      </w:r>
      <w:r>
        <w:t xml:space="preserve"> </w:t>
      </w:r>
      <w:r>
        <w:t>accélérateurs de protons à très haute</w:t>
      </w:r>
      <w:r>
        <w:t xml:space="preserve"> </w:t>
      </w:r>
      <w:r>
        <w:t>intensité (</w:t>
      </w:r>
      <w:proofErr w:type="spellStart"/>
      <w:r>
        <w:t>Iphi</w:t>
      </w:r>
      <w:proofErr w:type="spellEnd"/>
      <w:r>
        <w:t xml:space="preserve">, Spiral2, </w:t>
      </w:r>
      <w:proofErr w:type="spellStart"/>
      <w:r>
        <w:t>Ifmif</w:t>
      </w:r>
      <w:proofErr w:type="spellEnd"/>
      <w:r>
        <w:t xml:space="preserve">, ESS, </w:t>
      </w:r>
      <w:proofErr w:type="spellStart"/>
      <w:r>
        <w:t>Fair</w:t>
      </w:r>
      <w:proofErr w:type="spellEnd"/>
      <w:r>
        <w:t>, …).</w:t>
      </w:r>
    </w:p>
    <w:p w:rsidR="00E54020" w:rsidRDefault="00E54020" w:rsidP="0026376A">
      <w:pPr>
        <w:spacing w:line="312" w:lineRule="auto"/>
        <w:jc w:val="both"/>
      </w:pPr>
      <w:r>
        <w:t>Notons aussi que les accélérateurs</w:t>
      </w:r>
      <w:r>
        <w:t xml:space="preserve"> </w:t>
      </w:r>
      <w:r>
        <w:t>servent d’autres domaines que la physique</w:t>
      </w:r>
      <w:r>
        <w:t xml:space="preserve"> </w:t>
      </w:r>
      <w:r>
        <w:t>subatomique, tels que</w:t>
      </w:r>
      <w:r>
        <w:t xml:space="preserve"> </w:t>
      </w:r>
      <w:r>
        <w:t>par exemple,</w:t>
      </w:r>
      <w:r>
        <w:t xml:space="preserve"> </w:t>
      </w:r>
      <w:r>
        <w:t>l’énergie, le nucléaire, les matériaux, la</w:t>
      </w:r>
      <w:r>
        <w:t xml:space="preserve"> </w:t>
      </w:r>
      <w:r>
        <w:t>biologie et le médical. C'est aussi le cas pour</w:t>
      </w:r>
      <w:r>
        <w:t xml:space="preserve"> </w:t>
      </w:r>
      <w:r>
        <w:t>les accélérateurs d’électrons et notamment</w:t>
      </w:r>
      <w:r>
        <w:t xml:space="preserve"> </w:t>
      </w:r>
      <w:r>
        <w:t>pour l’interaction électrons/laser (</w:t>
      </w:r>
      <w:proofErr w:type="spellStart"/>
      <w:r>
        <w:t>Equipex</w:t>
      </w:r>
      <w:proofErr w:type="spellEnd"/>
      <w:r>
        <w:t xml:space="preserve"> </w:t>
      </w:r>
      <w:proofErr w:type="spellStart"/>
      <w:r>
        <w:t>ThomX</w:t>
      </w:r>
      <w:proofErr w:type="spellEnd"/>
      <w:r>
        <w:t>, ELI-NP).</w:t>
      </w:r>
      <w:r>
        <w:t xml:space="preserve"> </w:t>
      </w:r>
      <w:r>
        <w:t>Les accélérateurs de</w:t>
      </w:r>
      <w:r>
        <w:t xml:space="preserve"> </w:t>
      </w:r>
      <w:r>
        <w:t>basse énergie tels que ceux utilisés sur la</w:t>
      </w:r>
      <w:r>
        <w:t xml:space="preserve"> </w:t>
      </w:r>
      <w:r>
        <w:t>plateforme SCALP/</w:t>
      </w:r>
      <w:proofErr w:type="spellStart"/>
      <w:r>
        <w:t>JANNuS</w:t>
      </w:r>
      <w:proofErr w:type="spellEnd"/>
      <w:r>
        <w:t>-Orsay sont</w:t>
      </w:r>
      <w:r>
        <w:t xml:space="preserve"> </w:t>
      </w:r>
      <w:r>
        <w:t>dédiés à ces études, et verront leur potentiel</w:t>
      </w:r>
      <w:r>
        <w:t xml:space="preserve"> </w:t>
      </w:r>
      <w:r>
        <w:t>applicatif augmenté à travers l’extension de</w:t>
      </w:r>
      <w:r>
        <w:t xml:space="preserve"> </w:t>
      </w:r>
      <w:r>
        <w:t>la plateforme, l’</w:t>
      </w:r>
      <w:proofErr w:type="spellStart"/>
      <w:r>
        <w:t>Equipex</w:t>
      </w:r>
      <w:proofErr w:type="spellEnd"/>
      <w:r>
        <w:t xml:space="preserve"> Andromède. Le</w:t>
      </w:r>
      <w:r>
        <w:t xml:space="preserve"> </w:t>
      </w:r>
      <w:r>
        <w:t>synchrotron SOLEIL a été totalement conçu et réalisé par les</w:t>
      </w:r>
      <w:r>
        <w:t xml:space="preserve"> </w:t>
      </w:r>
      <w:r>
        <w:t>équipes de P2I et leurs collaborateurs. Ses</w:t>
      </w:r>
      <w:r>
        <w:t xml:space="preserve"> </w:t>
      </w:r>
      <w:r>
        <w:t>lignes de lumière sont utilisées dans des applications</w:t>
      </w:r>
      <w:r>
        <w:t xml:space="preserve"> </w:t>
      </w:r>
      <w:r>
        <w:t>diverses et variées notamment dans la santé et</w:t>
      </w:r>
      <w:r>
        <w:t xml:space="preserve"> </w:t>
      </w:r>
      <w:r>
        <w:t>l’énergie.</w:t>
      </w:r>
    </w:p>
    <w:p w:rsidR="00E54020" w:rsidRDefault="00E54020" w:rsidP="0026376A">
      <w:pPr>
        <w:spacing w:line="312" w:lineRule="auto"/>
        <w:jc w:val="both"/>
      </w:pPr>
      <w:r>
        <w:lastRenderedPageBreak/>
        <w:t>En France, la R&amp;D sur les nouvelles techniques d’accélération de particules par laser est</w:t>
      </w:r>
      <w:r>
        <w:t xml:space="preserve"> </w:t>
      </w:r>
      <w:r>
        <w:t>concentrée</w:t>
      </w:r>
      <w:r>
        <w:t xml:space="preserve"> </w:t>
      </w:r>
      <w:r>
        <w:t>dans le périmètre de l’Université Paris-Saclay. Plusieurs équipes de P2I sont impliqués dans</w:t>
      </w:r>
      <w:r>
        <w:t xml:space="preserve"> </w:t>
      </w:r>
      <w:proofErr w:type="spellStart"/>
      <w:r>
        <w:t>Cilex</w:t>
      </w:r>
      <w:proofErr w:type="spellEnd"/>
      <w:r>
        <w:t xml:space="preserve"> avec</w:t>
      </w:r>
      <w:r>
        <w:t xml:space="preserve"> </w:t>
      </w:r>
      <w:r>
        <w:t>son laser multi-PW Apollon, ses centrales de proximité et ses expériences associées portées</w:t>
      </w:r>
      <w:r>
        <w:t xml:space="preserve"> </w:t>
      </w:r>
      <w:r>
        <w:t>par le</w:t>
      </w:r>
      <w:r>
        <w:t xml:space="preserve"> </w:t>
      </w:r>
      <w:r>
        <w:t xml:space="preserve">Département </w:t>
      </w:r>
      <w:proofErr w:type="spellStart"/>
      <w:r>
        <w:t>PhOM</w:t>
      </w:r>
      <w:proofErr w:type="spellEnd"/>
      <w:r>
        <w:t>.</w:t>
      </w:r>
    </w:p>
    <w:p w:rsidR="00E54020" w:rsidRDefault="00E54020" w:rsidP="0026376A">
      <w:pPr>
        <w:spacing w:line="312" w:lineRule="auto"/>
        <w:jc w:val="both"/>
      </w:pPr>
      <w:r>
        <w:t>Les équipes de P2I ont joué un rôle central dans la construction des aimants des détecteurs ATLAS</w:t>
      </w:r>
      <w:r>
        <w:t xml:space="preserve"> </w:t>
      </w:r>
      <w:r>
        <w:t>et</w:t>
      </w:r>
      <w:r>
        <w:t xml:space="preserve"> </w:t>
      </w:r>
      <w:r>
        <w:t>CMS du LHC. Les projets de jouvence en luminosité et énergie du LHC, sont demandeurs de champ</w:t>
      </w:r>
      <w:r>
        <w:t xml:space="preserve"> </w:t>
      </w:r>
      <w:r>
        <w:t>magnétiques important pour les aimants. L’expertise du Département P2I dans ce domaine est</w:t>
      </w:r>
      <w:r>
        <w:t xml:space="preserve"> </w:t>
      </w:r>
      <w:r>
        <w:t>mondialement reconnue et une intense activité de R&amp;D est menée pour atteindre des champs aussi</w:t>
      </w:r>
      <w:r>
        <w:t xml:space="preserve"> </w:t>
      </w:r>
      <w:r>
        <w:t>importants que 16 T, qui requièrent des projets</w:t>
      </w:r>
      <w:r>
        <w:t xml:space="preserve"> </w:t>
      </w:r>
      <w:r>
        <w:t>tels que FCC. Ces développements</w:t>
      </w:r>
      <w:r>
        <w:t xml:space="preserve"> </w:t>
      </w:r>
      <w:r>
        <w:t>s’accompagnent de la mise à niveau et une</w:t>
      </w:r>
      <w:r>
        <w:t xml:space="preserve"> </w:t>
      </w:r>
      <w:r>
        <w:t>évolution permanente des stations d’essais. Cette</w:t>
      </w:r>
      <w:r>
        <w:t xml:space="preserve"> </w:t>
      </w:r>
      <w:r>
        <w:t>expertise dans les aimants supraconducteurs ne se</w:t>
      </w:r>
      <w:r>
        <w:t xml:space="preserve"> </w:t>
      </w:r>
      <w:r>
        <w:t>limite pas aux accélérateurs et joue un rôle dans</w:t>
      </w:r>
      <w:r>
        <w:t xml:space="preserve"> </w:t>
      </w:r>
      <w:r>
        <w:t>des grands instruments de détection, d’imagerie</w:t>
      </w:r>
      <w:r>
        <w:t xml:space="preserve"> </w:t>
      </w:r>
      <w:r>
        <w:t>et de fusion nucléaire. Elles ont aussi conduit</w:t>
      </w:r>
      <w:r>
        <w:t xml:space="preserve"> </w:t>
      </w:r>
      <w:r>
        <w:t>d’autres projets d’envergure, tels que l’aimant</w:t>
      </w:r>
      <w:r>
        <w:t xml:space="preserve"> </w:t>
      </w:r>
      <w:r>
        <w:t>d’IRM 11,7 T d’Iseult qui sera installé sur la</w:t>
      </w:r>
      <w:r>
        <w:t xml:space="preserve"> </w:t>
      </w:r>
      <w:r>
        <w:t xml:space="preserve">plateforme </w:t>
      </w:r>
      <w:proofErr w:type="spellStart"/>
      <w:r>
        <w:t>Neurospin</w:t>
      </w:r>
      <w:proofErr w:type="spellEnd"/>
      <w:r>
        <w:t>, et les tests à froids de</w:t>
      </w:r>
      <w:r>
        <w:t xml:space="preserve"> </w:t>
      </w:r>
      <w:r>
        <w:t>bobines de réacteurs de fusion tels que Tore-Supra et W7X. Ainsi, le développement</w:t>
      </w:r>
      <w:r>
        <w:t xml:space="preserve"> </w:t>
      </w:r>
      <w:r>
        <w:t>d'équipements de protection d'aimants de plus en</w:t>
      </w:r>
      <w:r>
        <w:t xml:space="preserve"> </w:t>
      </w:r>
      <w:r>
        <w:t>plus complexes, de circuits de puissance très</w:t>
      </w:r>
      <w:r>
        <w:t xml:space="preserve"> </w:t>
      </w:r>
      <w:r>
        <w:t>stables et de la supervision associée nourrissent la</w:t>
      </w:r>
      <w:r>
        <w:t xml:space="preserve"> </w:t>
      </w:r>
      <w:r>
        <w:t>vision système des laboratoires de P2I.</w:t>
      </w:r>
    </w:p>
    <w:p w:rsidR="0026376A" w:rsidRDefault="0026376A" w:rsidP="0026376A">
      <w:pPr>
        <w:jc w:val="both"/>
      </w:pPr>
    </w:p>
    <w:p w:rsidR="0026376A" w:rsidRPr="0026376A" w:rsidRDefault="0026376A" w:rsidP="0026376A">
      <w:pPr>
        <w:spacing w:line="312" w:lineRule="auto"/>
        <w:jc w:val="both"/>
        <w:rPr>
          <w:b/>
        </w:rPr>
      </w:pPr>
      <w:r w:rsidRPr="0026376A">
        <w:rPr>
          <w:b/>
        </w:rPr>
        <w:t>I</w:t>
      </w:r>
      <w:r>
        <w:rPr>
          <w:b/>
        </w:rPr>
        <w:t>I</w:t>
      </w:r>
      <w:r w:rsidRPr="0026376A">
        <w:rPr>
          <w:b/>
        </w:rPr>
        <w:t xml:space="preserve"> </w:t>
      </w:r>
      <w:r>
        <w:rPr>
          <w:b/>
        </w:rPr>
        <w:t>–</w:t>
      </w:r>
      <w:r w:rsidRPr="0026376A">
        <w:rPr>
          <w:b/>
        </w:rPr>
        <w:t xml:space="preserve"> </w:t>
      </w:r>
      <w:r w:rsidR="00B42351">
        <w:rPr>
          <w:b/>
        </w:rPr>
        <w:t>Stratégie de P2I pour les accélérateurs :</w:t>
      </w:r>
    </w:p>
    <w:p w:rsidR="00E54020" w:rsidRDefault="0026376A" w:rsidP="0026376A">
      <w:pPr>
        <w:spacing w:line="312" w:lineRule="auto"/>
        <w:jc w:val="both"/>
      </w:pPr>
      <w:r>
        <w:t>Quatre défis technologiques majeurs se posent au Département P2I pour les accélérateurs et les</w:t>
      </w:r>
      <w:r>
        <w:t xml:space="preserve"> </w:t>
      </w:r>
      <w:r>
        <w:t>aimants : les nouvelles générations d’aimants et de cavités supraconducteurs, l’accélération laser-plasma</w:t>
      </w:r>
      <w:r>
        <w:t xml:space="preserve"> </w:t>
      </w:r>
      <w:r>
        <w:t>et la maîtrise des faisceaux extrêmes.</w:t>
      </w:r>
    </w:p>
    <w:p w:rsidR="0026376A" w:rsidRDefault="0026376A" w:rsidP="0026376A">
      <w:pPr>
        <w:spacing w:line="312" w:lineRule="auto"/>
        <w:jc w:val="both"/>
      </w:pPr>
      <w:r>
        <w:t>Les futurs projets de physique et notamment d’accélérateurs, sont demandeurs d’aimants avec</w:t>
      </w:r>
      <w:r>
        <w:t xml:space="preserve"> </w:t>
      </w:r>
      <w:r>
        <w:t>des</w:t>
      </w:r>
      <w:r>
        <w:t xml:space="preserve"> </w:t>
      </w:r>
      <w:r>
        <w:t>champs magnétiques de plus en plus importants ou des dimensions exceptionnelles. Afin d’atteindre</w:t>
      </w:r>
      <w:r>
        <w:t xml:space="preserve"> </w:t>
      </w:r>
      <w:r>
        <w:t>ces performances, l’usage des nouveaux matériaux supraconducteurs, alternatif au classique</w:t>
      </w:r>
      <w:r>
        <w:t xml:space="preserve"> </w:t>
      </w:r>
      <w:proofErr w:type="spellStart"/>
      <w:r>
        <w:t>nobiumtitane</w:t>
      </w:r>
      <w:proofErr w:type="spellEnd"/>
      <w:r>
        <w:t>,</w:t>
      </w:r>
      <w:r w:rsidR="00B42351">
        <w:t xml:space="preserve"> </w:t>
      </w:r>
      <w:r>
        <w:t>tels que le niobium-étain au-delà de 12 T, les supraconducteurs à haute température</w:t>
      </w:r>
      <w:r w:rsidR="00B42351">
        <w:t xml:space="preserve"> </w:t>
      </w:r>
      <w:r>
        <w:t>critique</w:t>
      </w:r>
      <w:r w:rsidR="00B42351">
        <w:t xml:space="preserve"> </w:t>
      </w:r>
      <w:r>
        <w:t>(BSCO, YBCO) au-delà de 23 T, est incontournable et devra s’accompagner de développement</w:t>
      </w:r>
      <w:r w:rsidR="00B42351">
        <w:t xml:space="preserve"> </w:t>
      </w:r>
      <w:r>
        <w:t>de</w:t>
      </w:r>
      <w:r w:rsidR="00B42351">
        <w:t xml:space="preserve"> </w:t>
      </w:r>
      <w:r>
        <w:t xml:space="preserve">systèmes de protection adaptés prenant en compte la propagation spécifique du </w:t>
      </w:r>
      <w:proofErr w:type="spellStart"/>
      <w:r>
        <w:t>quench</w:t>
      </w:r>
      <w:proofErr w:type="spellEnd"/>
      <w:r>
        <w:t>. La taille</w:t>
      </w:r>
      <w:r w:rsidR="00B42351">
        <w:t xml:space="preserve"> </w:t>
      </w:r>
      <w:r>
        <w:t>de ces</w:t>
      </w:r>
      <w:r w:rsidR="00B42351">
        <w:t xml:space="preserve"> </w:t>
      </w:r>
      <w:r>
        <w:t>projets nécessite aussi d’optimiser dès la conception leur coût de réalisation et de</w:t>
      </w:r>
      <w:r w:rsidR="00B42351">
        <w:t xml:space="preserve"> </w:t>
      </w:r>
      <w:r>
        <w:t>fonctionnement. Ce</w:t>
      </w:r>
      <w:r w:rsidR="00B42351">
        <w:t xml:space="preserve"> </w:t>
      </w:r>
      <w:r>
        <w:t>dernier point nécessite notamment le développement d’une cryogénie innovante</w:t>
      </w:r>
      <w:r w:rsidR="00B42351">
        <w:t xml:space="preserve"> </w:t>
      </w:r>
      <w:r>
        <w:t>sans ou avec peu</w:t>
      </w:r>
      <w:r w:rsidR="00B42351">
        <w:t xml:space="preserve"> </w:t>
      </w:r>
      <w:r>
        <w:t>d’hélium, augmentation de la température de fonctionnement avec l’utilisation de</w:t>
      </w:r>
      <w:r w:rsidR="00B42351">
        <w:t xml:space="preserve"> </w:t>
      </w:r>
      <w:r>
        <w:t>nouveaux conducteurs</w:t>
      </w:r>
      <w:r w:rsidR="00B42351">
        <w:t xml:space="preserve"> </w:t>
      </w:r>
      <w:r>
        <w:t>comme le MgB2.</w:t>
      </w:r>
    </w:p>
    <w:p w:rsidR="00B42351" w:rsidRDefault="00B42351" w:rsidP="00B42351">
      <w:pPr>
        <w:spacing w:line="312" w:lineRule="auto"/>
        <w:jc w:val="both"/>
      </w:pPr>
      <w:r>
        <w:t>La technologie des cavités supraconductrices nécessite une amélioration des procédés de</w:t>
      </w:r>
      <w:r>
        <w:t xml:space="preserve"> </w:t>
      </w:r>
      <w:r>
        <w:t>fabrication</w:t>
      </w:r>
      <w:r>
        <w:t xml:space="preserve"> </w:t>
      </w:r>
      <w:r>
        <w:t>et de préparation des cavités pour l’obtention systématique de forts gradients accélérateurs et</w:t>
      </w:r>
      <w:r>
        <w:t xml:space="preserve"> </w:t>
      </w:r>
      <w:r>
        <w:t>de</w:t>
      </w:r>
      <w:r>
        <w:t xml:space="preserve"> </w:t>
      </w:r>
      <w:r>
        <w:t xml:space="preserve">facteurs de qualité élevés sur des </w:t>
      </w:r>
      <w:proofErr w:type="spellStart"/>
      <w:r>
        <w:t>cryomodules</w:t>
      </w:r>
      <w:proofErr w:type="spellEnd"/>
      <w:r>
        <w:t xml:space="preserve"> accélérateurs complets. Par ailleurs, de nouveaux</w:t>
      </w:r>
      <w:r>
        <w:t xml:space="preserve"> </w:t>
      </w:r>
      <w:r>
        <w:t>développements sont nécessaires pour dépasser les limites intrinsèques du niobium massif en exploitant</w:t>
      </w:r>
      <w:r>
        <w:t xml:space="preserve"> </w:t>
      </w:r>
      <w:r>
        <w:t>le potentiel de matériaux supraconducteurs. Le champ d’application s’élargit en y incluant</w:t>
      </w:r>
      <w:r>
        <w:t xml:space="preserve"> </w:t>
      </w:r>
      <w:r>
        <w:t>les cavités</w:t>
      </w:r>
      <w:r>
        <w:t xml:space="preserve"> </w:t>
      </w:r>
      <w:r>
        <w:t>déflectrices, les canons RF et les systèmes RF continus à haute fiabilité et fort rendement.</w:t>
      </w:r>
      <w:r>
        <w:t xml:space="preserve"> </w:t>
      </w:r>
      <w:r>
        <w:lastRenderedPageBreak/>
        <w:t>Un autre axe</w:t>
      </w:r>
      <w:r>
        <w:t xml:space="preserve"> </w:t>
      </w:r>
      <w:r>
        <w:t>de développement important est la conséquence de l’essor des machines de hadrons de</w:t>
      </w:r>
      <w:r>
        <w:t xml:space="preserve"> </w:t>
      </w:r>
      <w:r>
        <w:t>très forte</w:t>
      </w:r>
      <w:r>
        <w:t xml:space="preserve"> </w:t>
      </w:r>
      <w:r>
        <w:t>intensité, qui fixent des challenges technologiques majeurs liés aux fortes puissances.</w:t>
      </w:r>
    </w:p>
    <w:p w:rsidR="00B42351" w:rsidRDefault="00B42351" w:rsidP="00B42351">
      <w:pPr>
        <w:spacing w:line="312" w:lineRule="auto"/>
        <w:jc w:val="both"/>
      </w:pPr>
      <w:r>
        <w:t>Parmi les nouvelles technologies pour produire et accélérer des particules, l’utilisation des lasers</w:t>
      </w:r>
      <w:r>
        <w:t xml:space="preserve"> </w:t>
      </w:r>
      <w:r>
        <w:t>de puissance par impact direct sur la matière ou par excitation d’ondes plasma est à la fois la plus</w:t>
      </w:r>
      <w:r>
        <w:t xml:space="preserve"> </w:t>
      </w:r>
      <w:r>
        <w:t>ambitieuse et la plus prometteuse en termes de production de faisceaux d’électrons et de protons de</w:t>
      </w:r>
      <w:r>
        <w:t xml:space="preserve"> </w:t>
      </w:r>
      <w:r>
        <w:t>haute</w:t>
      </w:r>
      <w:r>
        <w:t xml:space="preserve"> </w:t>
      </w:r>
      <w:r>
        <w:t>énergie par des dispositifs compacts.</w:t>
      </w:r>
    </w:p>
    <w:p w:rsidR="0026376A" w:rsidRDefault="00B42351" w:rsidP="0026376A">
      <w:pPr>
        <w:spacing w:line="312" w:lineRule="auto"/>
        <w:jc w:val="both"/>
      </w:pPr>
      <w:r>
        <w:t>La construction d’accélérateurs de particules de haute intensité, de collisionneurs de haute</w:t>
      </w:r>
      <w:r>
        <w:t xml:space="preserve"> </w:t>
      </w:r>
      <w:r>
        <w:t>luminosité,</w:t>
      </w:r>
      <w:r>
        <w:t xml:space="preserve"> </w:t>
      </w:r>
      <w:r>
        <w:t>de sources de rayonnement synchrotron à la limite de diffraction ou d’accélérateurs laser</w:t>
      </w:r>
      <w:r>
        <w:t>-</w:t>
      </w:r>
      <w:r>
        <w:t>plasma,</w:t>
      </w:r>
      <w:r>
        <w:t xml:space="preserve"> </w:t>
      </w:r>
      <w:r>
        <w:t>requiert de porter la physique des accélérateurs vers de nouveaux développements conceptuels.</w:t>
      </w:r>
      <w:r>
        <w:t xml:space="preserve"> </w:t>
      </w:r>
      <w:r>
        <w:t>En particulier, la caractérisation des faisceaux extrêmes est un défi étant donné les très petites tailles, les</w:t>
      </w:r>
      <w:r>
        <w:t xml:space="preserve"> </w:t>
      </w:r>
      <w:r>
        <w:t>très courtes longueurs des paquets d’une part et les très hautes intensités d’autre part.</w:t>
      </w:r>
    </w:p>
    <w:p w:rsidR="00B42351" w:rsidRDefault="00B42351" w:rsidP="00B42351">
      <w:pPr>
        <w:spacing w:line="312" w:lineRule="auto"/>
        <w:jc w:val="both"/>
      </w:pPr>
      <w:r>
        <w:t>Pour satisfaire ces objectifs, le développement ou la création de plateformes dédiées apparaît</w:t>
      </w:r>
      <w:r>
        <w:t xml:space="preserve"> </w:t>
      </w:r>
      <w:r>
        <w:t>nécessaire pour caractériser les différents prototypes ou techniques développés selon ces axes. Elles</w:t>
      </w:r>
      <w:r>
        <w:t xml:space="preserve"> </w:t>
      </w:r>
      <w:r>
        <w:t>permettraient en outre :</w:t>
      </w:r>
    </w:p>
    <w:p w:rsidR="00B42351" w:rsidRDefault="00B42351" w:rsidP="00B42351">
      <w:pPr>
        <w:pStyle w:val="Paragraphedeliste"/>
        <w:numPr>
          <w:ilvl w:val="0"/>
          <w:numId w:val="1"/>
        </w:numPr>
        <w:spacing w:line="312" w:lineRule="auto"/>
        <w:jc w:val="both"/>
      </w:pPr>
      <w:r>
        <w:t>d’augmenter le potentiel d’innovation/valorisation,</w:t>
      </w:r>
    </w:p>
    <w:p w:rsidR="00B42351" w:rsidRDefault="00B42351" w:rsidP="00B42351">
      <w:pPr>
        <w:pStyle w:val="Paragraphedeliste"/>
        <w:numPr>
          <w:ilvl w:val="0"/>
          <w:numId w:val="1"/>
        </w:numPr>
        <w:spacing w:line="312" w:lineRule="auto"/>
        <w:jc w:val="both"/>
      </w:pPr>
      <w:r>
        <w:t>d’augmenter les synergies,</w:t>
      </w:r>
    </w:p>
    <w:p w:rsidR="00B42351" w:rsidRDefault="00B42351" w:rsidP="00B42351">
      <w:pPr>
        <w:pStyle w:val="Paragraphedeliste"/>
        <w:numPr>
          <w:ilvl w:val="0"/>
          <w:numId w:val="1"/>
        </w:numPr>
        <w:spacing w:line="312" w:lineRule="auto"/>
        <w:jc w:val="both"/>
      </w:pPr>
      <w:r>
        <w:t>de renforcer les collaborations existantes et de développer des projets transverses,</w:t>
      </w:r>
    </w:p>
    <w:p w:rsidR="00B42351" w:rsidRDefault="00B42351" w:rsidP="00B42351">
      <w:pPr>
        <w:pStyle w:val="Paragraphedeliste"/>
        <w:numPr>
          <w:ilvl w:val="0"/>
          <w:numId w:val="1"/>
        </w:numPr>
        <w:spacing w:line="312" w:lineRule="auto"/>
        <w:jc w:val="both"/>
      </w:pPr>
      <w:r>
        <w:t>de faciliter le passage du prototypage à la réalisation de composants éprouvés,</w:t>
      </w:r>
    </w:p>
    <w:p w:rsidR="00B42351" w:rsidRDefault="00B42351" w:rsidP="00B42351">
      <w:pPr>
        <w:pStyle w:val="Paragraphedeliste"/>
        <w:numPr>
          <w:ilvl w:val="0"/>
          <w:numId w:val="1"/>
        </w:numPr>
        <w:spacing w:line="312" w:lineRule="auto"/>
        <w:jc w:val="both"/>
      </w:pPr>
      <w:r>
        <w:t>de permettre aux étudiants (Master Grands Instruments), techniciens, ingénieurs et</w:t>
      </w:r>
      <w:r>
        <w:t xml:space="preserve"> </w:t>
      </w:r>
      <w:r>
        <w:t>industriels de se former avec des équipes pionnières et multidisciplinaires,</w:t>
      </w:r>
    </w:p>
    <w:p w:rsidR="00B42351" w:rsidRDefault="00B42351" w:rsidP="00B42351">
      <w:pPr>
        <w:spacing w:line="312" w:lineRule="auto"/>
        <w:jc w:val="both"/>
      </w:pPr>
      <w:r>
        <w:t>En plus des plateformes existantes, il</w:t>
      </w:r>
      <w:r>
        <w:t xml:space="preserve"> </w:t>
      </w:r>
      <w:r>
        <w:t>restera à définir le nombre et préciser les</w:t>
      </w:r>
      <w:r>
        <w:t xml:space="preserve"> </w:t>
      </w:r>
      <w:r>
        <w:t>objectifs scientifiques et techniques de ces</w:t>
      </w:r>
      <w:r>
        <w:t xml:space="preserve"> </w:t>
      </w:r>
      <w:r>
        <w:t>nouvelles plateformes. Certaines, déjà</w:t>
      </w:r>
      <w:r>
        <w:t xml:space="preserve"> </w:t>
      </w:r>
      <w:r>
        <w:t>identifiées autour de projets porteurs existants</w:t>
      </w:r>
      <w:r>
        <w:t xml:space="preserve"> </w:t>
      </w:r>
      <w:r>
        <w:t>au sein de Paris-Saclay, nécessiteront le</w:t>
      </w:r>
      <w:r>
        <w:t xml:space="preserve"> </w:t>
      </w:r>
      <w:r>
        <w:t>développement de techniques innovantes :</w:t>
      </w:r>
    </w:p>
    <w:p w:rsidR="00B42351" w:rsidRDefault="00B42351" w:rsidP="00B42351">
      <w:pPr>
        <w:pStyle w:val="Paragraphedeliste"/>
        <w:numPr>
          <w:ilvl w:val="0"/>
          <w:numId w:val="2"/>
        </w:numPr>
        <w:spacing w:line="312" w:lineRule="auto"/>
        <w:jc w:val="both"/>
      </w:pPr>
      <w:r>
        <w:t>projet de laser à électron libre de</w:t>
      </w:r>
      <w:r>
        <w:t xml:space="preserve"> </w:t>
      </w:r>
      <w:r>
        <w:t>5ème génération (accélération supra</w:t>
      </w:r>
      <w:r>
        <w:t xml:space="preserve"> </w:t>
      </w:r>
      <w:r>
        <w:t>continue, accélération plasma,</w:t>
      </w:r>
      <w:r>
        <w:t xml:space="preserve"> </w:t>
      </w:r>
      <w:r>
        <w:t xml:space="preserve">onduleurs </w:t>
      </w:r>
      <w:proofErr w:type="spellStart"/>
      <w:r>
        <w:t>cryo</w:t>
      </w:r>
      <w:proofErr w:type="spellEnd"/>
      <w:r>
        <w:t xml:space="preserve">, diagnostics </w:t>
      </w:r>
      <w:proofErr w:type="spellStart"/>
      <w:r>
        <w:t>ultrabrefs</w:t>
      </w:r>
      <w:proofErr w:type="spellEnd"/>
      <w:r>
        <w:t>,</w:t>
      </w:r>
      <w:r>
        <w:t xml:space="preserve"> </w:t>
      </w:r>
      <w:r>
        <w:t xml:space="preserve">schémas de </w:t>
      </w:r>
      <w:proofErr w:type="spellStart"/>
      <w:r>
        <w:t>seeding</w:t>
      </w:r>
      <w:proofErr w:type="spellEnd"/>
      <w:r>
        <w:t xml:space="preserve">, </w:t>
      </w:r>
      <w:proofErr w:type="spellStart"/>
      <w:r>
        <w:t>supermatching</w:t>
      </w:r>
      <w:proofErr w:type="spellEnd"/>
      <w:r>
        <w:t>,</w:t>
      </w:r>
      <w:r>
        <w:t xml:space="preserve"> </w:t>
      </w:r>
      <w:r>
        <w:t>…)</w:t>
      </w:r>
    </w:p>
    <w:p w:rsidR="00B42351" w:rsidRDefault="00B42351" w:rsidP="00B42351">
      <w:pPr>
        <w:pStyle w:val="Paragraphedeliste"/>
        <w:numPr>
          <w:ilvl w:val="0"/>
          <w:numId w:val="2"/>
        </w:numPr>
        <w:spacing w:line="312" w:lineRule="auto"/>
        <w:jc w:val="both"/>
      </w:pPr>
      <w:r>
        <w:t>accélération laser/plasma à partir du</w:t>
      </w:r>
      <w:r>
        <w:t xml:space="preserve"> </w:t>
      </w:r>
      <w:r>
        <w:t>laser multi-PW Apollon et centrales</w:t>
      </w:r>
      <w:r>
        <w:t xml:space="preserve"> </w:t>
      </w:r>
      <w:r>
        <w:t>de proximité associées (tests de</w:t>
      </w:r>
      <w:r>
        <w:t xml:space="preserve"> </w:t>
      </w:r>
      <w:r>
        <w:t>structures accélératrices plasma variées, transport faisceau avancé, stabilisation du faisceau,</w:t>
      </w:r>
      <w:r>
        <w:t xml:space="preserve"> </w:t>
      </w:r>
      <w:r>
        <w:t>accélération multi-étages, synchronisation et diagnostics ultra-brefs, etc.)</w:t>
      </w:r>
    </w:p>
    <w:p w:rsidR="00B42351" w:rsidRDefault="00B42351" w:rsidP="00B42351">
      <w:pPr>
        <w:pStyle w:val="Paragraphedeliste"/>
        <w:numPr>
          <w:ilvl w:val="0"/>
          <w:numId w:val="2"/>
        </w:numPr>
        <w:spacing w:line="312" w:lineRule="auto"/>
        <w:jc w:val="both"/>
      </w:pPr>
      <w:r>
        <w:t>capacités de caractérisations et réalisations (fils, bobinages, aimants) adaptées aux nouveaux</w:t>
      </w:r>
      <w:r>
        <w:t xml:space="preserve"> </w:t>
      </w:r>
      <w:r>
        <w:t>aimants</w:t>
      </w:r>
      <w:r>
        <w:t xml:space="preserve"> </w:t>
      </w:r>
      <w:r>
        <w:t>supraconducteurs (température variable, nouveaux dispositifs cryogéniques,</w:t>
      </w:r>
      <w:r>
        <w:t xml:space="preserve"> </w:t>
      </w:r>
      <w:r>
        <w:t>comportements sous</w:t>
      </w:r>
      <w:r>
        <w:t xml:space="preserve"> </w:t>
      </w:r>
      <w:r>
        <w:t>forte contrainte mécanique, …)</w:t>
      </w:r>
    </w:p>
    <w:p w:rsidR="00B42351" w:rsidRDefault="00B42351" w:rsidP="00B42351">
      <w:pPr>
        <w:pStyle w:val="Paragraphedeliste"/>
        <w:numPr>
          <w:ilvl w:val="0"/>
          <w:numId w:val="2"/>
        </w:numPr>
        <w:spacing w:line="312" w:lineRule="auto"/>
        <w:jc w:val="both"/>
      </w:pPr>
      <w:r>
        <w:t xml:space="preserve">complexe accélérateur basé sur un </w:t>
      </w:r>
      <w:proofErr w:type="spellStart"/>
      <w:r>
        <w:t>linac</w:t>
      </w:r>
      <w:proofErr w:type="spellEnd"/>
      <w:r>
        <w:t xml:space="preserve"> supra mode standard ou ERL à électrons hautes</w:t>
      </w:r>
      <w:r>
        <w:t xml:space="preserve"> </w:t>
      </w:r>
      <w:r>
        <w:t>performances</w:t>
      </w:r>
      <w:r>
        <w:t xml:space="preserve"> </w:t>
      </w:r>
      <w:r>
        <w:t>(paquets ultra-courts de charge élevée, faible émittance, fréquence de répétition</w:t>
      </w:r>
      <w:r>
        <w:t xml:space="preserve"> </w:t>
      </w:r>
      <w:r>
        <w:t>élevée) pouvant</w:t>
      </w:r>
      <w:r>
        <w:t xml:space="preserve"> </w:t>
      </w:r>
      <w:r>
        <w:t>desservir plusieurs applications: R&amp;D accélérateur et cavités, faisceau test pour</w:t>
      </w:r>
      <w:r>
        <w:t xml:space="preserve"> </w:t>
      </w:r>
      <w:r>
        <w:t>détecteurs,</w:t>
      </w:r>
      <w:r>
        <w:t xml:space="preserve"> </w:t>
      </w:r>
      <w:r>
        <w:t>applications médicales, espace, driver pour Lunex5, source g jusqu’à 10 MeV.</w:t>
      </w:r>
    </w:p>
    <w:p w:rsidR="00B42351" w:rsidRDefault="00B42351" w:rsidP="00B42351">
      <w:pPr>
        <w:pStyle w:val="Paragraphedeliste"/>
        <w:numPr>
          <w:ilvl w:val="0"/>
          <w:numId w:val="2"/>
        </w:numPr>
        <w:spacing w:line="312" w:lineRule="auto"/>
        <w:jc w:val="both"/>
      </w:pPr>
      <w:r>
        <w:lastRenderedPageBreak/>
        <w:t>Un projet de source compacte de neutrons SONATE est à l’étude à Saclay, basée sur une source</w:t>
      </w:r>
      <w:r>
        <w:t xml:space="preserve"> </w:t>
      </w:r>
      <w:r>
        <w:t>d’ions à haute intensité fonctionnant en mode pulsé jusqu’à plus de 20 MeV, Cette source pourra</w:t>
      </w:r>
      <w:r>
        <w:t xml:space="preserve"> </w:t>
      </w:r>
      <w:r>
        <w:t>avantageusement remplacer la production de neutrons thermiques des réacteurs de recherche de</w:t>
      </w:r>
      <w:r>
        <w:t xml:space="preserve"> </w:t>
      </w:r>
      <w:r>
        <w:t>taille moyenne.</w:t>
      </w:r>
    </w:p>
    <w:p w:rsidR="00B42351" w:rsidRDefault="00B42351" w:rsidP="00B42351">
      <w:pPr>
        <w:spacing w:line="312" w:lineRule="auto"/>
        <w:jc w:val="both"/>
      </w:pPr>
    </w:p>
    <w:p w:rsidR="00B42351" w:rsidRDefault="00B42351" w:rsidP="0026376A">
      <w:pPr>
        <w:spacing w:line="312" w:lineRule="auto"/>
        <w:jc w:val="both"/>
      </w:pPr>
    </w:p>
    <w:p w:rsidR="0026376A" w:rsidRDefault="0026376A" w:rsidP="0026376A">
      <w:pPr>
        <w:spacing w:line="312" w:lineRule="auto"/>
        <w:jc w:val="both"/>
      </w:pPr>
    </w:p>
    <w:p w:rsidR="0026376A" w:rsidRPr="0026376A" w:rsidRDefault="0026376A" w:rsidP="0026376A">
      <w:pPr>
        <w:spacing w:line="312" w:lineRule="auto"/>
        <w:jc w:val="both"/>
        <w:rPr>
          <w:b/>
        </w:rPr>
      </w:pPr>
      <w:r w:rsidRPr="0026376A">
        <w:rPr>
          <w:b/>
        </w:rPr>
        <w:t>I</w:t>
      </w:r>
      <w:r>
        <w:rPr>
          <w:b/>
        </w:rPr>
        <w:t>II</w:t>
      </w:r>
      <w:r w:rsidRPr="0026376A">
        <w:rPr>
          <w:b/>
        </w:rPr>
        <w:t xml:space="preserve"> </w:t>
      </w:r>
      <w:r>
        <w:rPr>
          <w:b/>
        </w:rPr>
        <w:t>–</w:t>
      </w:r>
      <w:r w:rsidRPr="0026376A">
        <w:rPr>
          <w:b/>
        </w:rPr>
        <w:t xml:space="preserve"> </w:t>
      </w:r>
      <w:r>
        <w:rPr>
          <w:b/>
        </w:rPr>
        <w:t>Analyse SWOT</w:t>
      </w:r>
      <w:r w:rsidRPr="0026376A">
        <w:rPr>
          <w:b/>
        </w:rPr>
        <w:t>:</w:t>
      </w:r>
    </w:p>
    <w:p w:rsidR="0026376A" w:rsidRDefault="0026376A" w:rsidP="00E54020">
      <w:pPr>
        <w:jc w:val="both"/>
      </w:pPr>
      <w:r>
        <w:t>Analyse SWOT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376A" w:rsidTr="0026376A">
        <w:tc>
          <w:tcPr>
            <w:tcW w:w="4531" w:type="dxa"/>
          </w:tcPr>
          <w:p w:rsidR="0026376A" w:rsidRPr="0026376A" w:rsidRDefault="0026376A" w:rsidP="00E54020">
            <w:pPr>
              <w:jc w:val="both"/>
              <w:rPr>
                <w:b/>
              </w:rPr>
            </w:pPr>
            <w:r w:rsidRPr="0026376A">
              <w:rPr>
                <w:b/>
              </w:rPr>
              <w:t>Forces :</w:t>
            </w:r>
          </w:p>
          <w:p w:rsidR="0026376A" w:rsidRDefault="0026376A" w:rsidP="0026376A">
            <w:pPr>
              <w:jc w:val="both"/>
            </w:pPr>
            <w:r>
              <w:t>• Projets internationaux, nationaux et locaux</w:t>
            </w:r>
          </w:p>
          <w:p w:rsidR="0026376A" w:rsidRDefault="0026376A" w:rsidP="0026376A">
            <w:pPr>
              <w:jc w:val="both"/>
            </w:pPr>
            <w:r>
              <w:t>- Participation à la fois dans la conception et la</w:t>
            </w:r>
            <w:r>
              <w:t xml:space="preserve"> </w:t>
            </w:r>
            <w:r>
              <w:t>réalisation des projets accélérateurs (ILC-CLIC,</w:t>
            </w:r>
            <w:r>
              <w:t xml:space="preserve"> </w:t>
            </w:r>
            <w:r w:rsidRPr="0026376A">
              <w:t>XFEL, HL-LHC, FCC, FAIR, ESS, MYRRHA,</w:t>
            </w:r>
            <w:r>
              <w:t xml:space="preserve"> </w:t>
            </w:r>
            <w:r>
              <w:t>SPIRAL2, IFMIF…), des projets sur l’énergie</w:t>
            </w:r>
            <w:r>
              <w:t xml:space="preserve"> </w:t>
            </w:r>
            <w:r>
              <w:t>(JT60, W7-X,</w:t>
            </w:r>
            <w:r>
              <w:t xml:space="preserve"> </w:t>
            </w:r>
            <w:r>
              <w:t>ITER), et des projets transverses</w:t>
            </w:r>
            <w:r>
              <w:t xml:space="preserve"> </w:t>
            </w:r>
            <w:r>
              <w:t>santé (Iseult,</w:t>
            </w:r>
            <w:r>
              <w:t xml:space="preserve"> </w:t>
            </w:r>
            <w:proofErr w:type="spellStart"/>
            <w:r>
              <w:t>Gantry</w:t>
            </w:r>
            <w:proofErr w:type="spellEnd"/>
            <w:r>
              <w:t>, PET) avec des</w:t>
            </w:r>
            <w:r>
              <w:t xml:space="preserve"> </w:t>
            </w:r>
            <w:r>
              <w:t>responsabilités majeures.</w:t>
            </w:r>
          </w:p>
          <w:p w:rsidR="0026376A" w:rsidRDefault="0026376A" w:rsidP="0026376A">
            <w:pPr>
              <w:jc w:val="both"/>
            </w:pPr>
            <w:r>
              <w:t>- Existence des accélérateurs et plateformes</w:t>
            </w:r>
            <w:r>
              <w:t xml:space="preserve"> </w:t>
            </w:r>
            <w:r>
              <w:t>locaux en fonctionnement, en construction ou à</w:t>
            </w:r>
            <w:r>
              <w:t xml:space="preserve"> </w:t>
            </w:r>
            <w:r>
              <w:t>l’état de proposition (SOLEIL, LUNEX5, ALTO,</w:t>
            </w:r>
            <w:r>
              <w:t xml:space="preserve"> </w:t>
            </w:r>
            <w:r>
              <w:t xml:space="preserve">SUPRATECH, IPHI, </w:t>
            </w:r>
            <w:proofErr w:type="spellStart"/>
            <w:r>
              <w:t>XFEL’s</w:t>
            </w:r>
            <w:proofErr w:type="spellEnd"/>
            <w:r>
              <w:t xml:space="preserve"> </w:t>
            </w:r>
            <w:proofErr w:type="spellStart"/>
            <w:r>
              <w:t>labs</w:t>
            </w:r>
            <w:proofErr w:type="spellEnd"/>
            <w:r>
              <w:t>, PHIL,</w:t>
            </w:r>
            <w:r>
              <w:t xml:space="preserve"> </w:t>
            </w:r>
            <w:r>
              <w:t>CILEX, IGLEX</w:t>
            </w:r>
            <w:r>
              <w:t xml:space="preserve"> </w:t>
            </w:r>
            <w:r>
              <w:t xml:space="preserve">: </w:t>
            </w:r>
            <w:proofErr w:type="spellStart"/>
            <w:r>
              <w:t>ThomX</w:t>
            </w:r>
            <w:proofErr w:type="spellEnd"/>
            <w:r>
              <w:t xml:space="preserve">, </w:t>
            </w:r>
            <w:proofErr w:type="spellStart"/>
            <w:r>
              <w:t>Andromede</w:t>
            </w:r>
            <w:proofErr w:type="spellEnd"/>
            <w:r>
              <w:t xml:space="preserve"> et</w:t>
            </w:r>
            <w:r>
              <w:t xml:space="preserve"> </w:t>
            </w:r>
            <w:r>
              <w:t>PRAE….)</w:t>
            </w:r>
          </w:p>
          <w:p w:rsidR="0026376A" w:rsidRDefault="0026376A" w:rsidP="0026376A">
            <w:pPr>
              <w:jc w:val="both"/>
            </w:pPr>
            <w:r>
              <w:t>• Equipes</w:t>
            </w:r>
          </w:p>
          <w:p w:rsidR="0026376A" w:rsidRDefault="0026376A" w:rsidP="0026376A">
            <w:pPr>
              <w:jc w:val="both"/>
            </w:pPr>
            <w:r>
              <w:t>- Equipes pionnières et multidisciplinaires (RF</w:t>
            </w:r>
            <w:r>
              <w:t xml:space="preserve"> </w:t>
            </w:r>
            <w:r>
              <w:t xml:space="preserve">guns, SCRF, Haute Intensité Ions </w:t>
            </w:r>
            <w:proofErr w:type="spellStart"/>
            <w:r>
              <w:t>linac</w:t>
            </w:r>
            <w:proofErr w:type="spellEnd"/>
            <w:r>
              <w:t>, aimants</w:t>
            </w:r>
            <w:r>
              <w:t xml:space="preserve"> </w:t>
            </w:r>
            <w:r>
              <w:t xml:space="preserve">SC, Cryogéniques, LEL, accélération </w:t>
            </w:r>
            <w:proofErr w:type="spellStart"/>
            <w:r>
              <w:t>laserplasma</w:t>
            </w:r>
            <w:proofErr w:type="spellEnd"/>
            <w:r>
              <w:t xml:space="preserve"> </w:t>
            </w:r>
            <w:r>
              <w:t>…), gestion échelle industrielle SCRF</w:t>
            </w:r>
            <w:r>
              <w:t xml:space="preserve"> </w:t>
            </w:r>
            <w:proofErr w:type="spellStart"/>
            <w:r>
              <w:t>cryomodules</w:t>
            </w:r>
            <w:proofErr w:type="spellEnd"/>
            <w:r>
              <w:t xml:space="preserve"> et assurance qualité.</w:t>
            </w:r>
          </w:p>
          <w:p w:rsidR="0026376A" w:rsidRDefault="0026376A" w:rsidP="0026376A">
            <w:pPr>
              <w:jc w:val="both"/>
            </w:pPr>
            <w:r>
              <w:t>- Culture collaboration ingénieur/chercheur et</w:t>
            </w:r>
            <w:r>
              <w:t xml:space="preserve"> </w:t>
            </w:r>
            <w:r>
              <w:t>projet</w:t>
            </w:r>
          </w:p>
          <w:p w:rsidR="0026376A" w:rsidRDefault="0026376A" w:rsidP="0026376A">
            <w:pPr>
              <w:jc w:val="both"/>
            </w:pPr>
            <w:r>
              <w:t>- Plus grande communauté de Physique des</w:t>
            </w:r>
            <w:r>
              <w:t xml:space="preserve"> </w:t>
            </w:r>
            <w:r>
              <w:t>Accélérateurs en France.</w:t>
            </w:r>
          </w:p>
          <w:p w:rsidR="0026376A" w:rsidRDefault="0026376A" w:rsidP="0026376A">
            <w:pPr>
              <w:jc w:val="both"/>
            </w:pPr>
            <w:r>
              <w:t>• Enseignement</w:t>
            </w:r>
          </w:p>
          <w:p w:rsidR="0026376A" w:rsidRDefault="0026376A" w:rsidP="0026376A">
            <w:pPr>
              <w:jc w:val="both"/>
            </w:pPr>
            <w:r>
              <w:t>- Formation de doctorants et Master 2 : « Grands</w:t>
            </w:r>
            <w:r>
              <w:t xml:space="preserve"> </w:t>
            </w:r>
            <w:r>
              <w:t>Instruments » et « Fusion »</w:t>
            </w:r>
          </w:p>
          <w:p w:rsidR="0026376A" w:rsidRDefault="0026376A" w:rsidP="0026376A">
            <w:pPr>
              <w:jc w:val="both"/>
            </w:pPr>
            <w:r>
              <w:t>-</w:t>
            </w:r>
            <w:r>
              <w:t xml:space="preserve"> </w:t>
            </w:r>
            <w:r>
              <w:t>Possibilité de stages et Travaux Pratiques</w:t>
            </w:r>
          </w:p>
          <w:p w:rsidR="0026376A" w:rsidRDefault="0026376A" w:rsidP="0026376A">
            <w:pPr>
              <w:jc w:val="both"/>
            </w:pPr>
            <w:r>
              <w:t>• Relations industrielles</w:t>
            </w:r>
          </w:p>
          <w:p w:rsidR="0026376A" w:rsidRDefault="0026376A" w:rsidP="0026376A">
            <w:pPr>
              <w:jc w:val="both"/>
            </w:pPr>
            <w:r>
              <w:t>- Existence de liens avec les industriels</w:t>
            </w:r>
          </w:p>
          <w:p w:rsidR="0026376A" w:rsidRDefault="0026376A" w:rsidP="0026376A">
            <w:pPr>
              <w:jc w:val="both"/>
            </w:pPr>
            <w:r>
              <w:t xml:space="preserve">(THALES, </w:t>
            </w:r>
            <w:proofErr w:type="spellStart"/>
            <w:r>
              <w:t>Sigmaphi</w:t>
            </w:r>
            <w:proofErr w:type="spellEnd"/>
            <w:r>
              <w:t xml:space="preserve">, Alstom, </w:t>
            </w:r>
            <w:proofErr w:type="spellStart"/>
            <w:r>
              <w:t>Alsyom</w:t>
            </w:r>
            <w:proofErr w:type="spellEnd"/>
            <w:r>
              <w:t>…)</w:t>
            </w:r>
          </w:p>
        </w:tc>
        <w:tc>
          <w:tcPr>
            <w:tcW w:w="4531" w:type="dxa"/>
          </w:tcPr>
          <w:p w:rsidR="0026376A" w:rsidRPr="0026376A" w:rsidRDefault="0026376A" w:rsidP="00E54020">
            <w:pPr>
              <w:jc w:val="both"/>
              <w:rPr>
                <w:b/>
              </w:rPr>
            </w:pPr>
            <w:r w:rsidRPr="0026376A">
              <w:rPr>
                <w:b/>
              </w:rPr>
              <w:t>Faiblesses :</w:t>
            </w:r>
          </w:p>
          <w:p w:rsidR="0026376A" w:rsidRDefault="0026376A" w:rsidP="0026376A">
            <w:pPr>
              <w:jc w:val="both"/>
            </w:pPr>
            <w:r>
              <w:t>• Problème de coordination</w:t>
            </w:r>
          </w:p>
          <w:p w:rsidR="0026376A" w:rsidRDefault="0026376A" w:rsidP="0026376A">
            <w:pPr>
              <w:jc w:val="both"/>
            </w:pPr>
            <w:r>
              <w:t>- Pas de vue d’ensemble</w:t>
            </w:r>
          </w:p>
          <w:p w:rsidR="0026376A" w:rsidRDefault="0026376A" w:rsidP="0026376A">
            <w:pPr>
              <w:jc w:val="both"/>
            </w:pPr>
            <w:r>
              <w:t>- Dispersion des équipes</w:t>
            </w:r>
          </w:p>
          <w:p w:rsidR="0026376A" w:rsidRDefault="0026376A" w:rsidP="0026376A">
            <w:pPr>
              <w:jc w:val="both"/>
            </w:pPr>
            <w:r>
              <w:t>- Duplication de plateformes</w:t>
            </w:r>
          </w:p>
          <w:p w:rsidR="0026376A" w:rsidRDefault="0026376A" w:rsidP="0026376A">
            <w:pPr>
              <w:jc w:val="both"/>
            </w:pPr>
            <w:r>
              <w:t>- Impact global de la communauté accélérateur</w:t>
            </w:r>
          </w:p>
          <w:p w:rsidR="0026376A" w:rsidRDefault="0026376A" w:rsidP="0026376A">
            <w:pPr>
              <w:jc w:val="both"/>
            </w:pPr>
            <w:r>
              <w:t>de P2I très faible</w:t>
            </w:r>
          </w:p>
          <w:p w:rsidR="0026376A" w:rsidRDefault="0026376A" w:rsidP="0026376A">
            <w:pPr>
              <w:jc w:val="both"/>
            </w:pPr>
            <w:r>
              <w:t>• Recrutements</w:t>
            </w:r>
          </w:p>
          <w:p w:rsidR="0026376A" w:rsidRDefault="0026376A" w:rsidP="0026376A">
            <w:pPr>
              <w:jc w:val="both"/>
            </w:pPr>
            <w:r>
              <w:t>- Peu de recrutements, peu de permanents et</w:t>
            </w:r>
          </w:p>
          <w:p w:rsidR="0026376A" w:rsidRDefault="0026376A" w:rsidP="0026376A">
            <w:pPr>
              <w:jc w:val="both"/>
            </w:pPr>
            <w:r>
              <w:t>postes à l’Université</w:t>
            </w:r>
          </w:p>
          <w:p w:rsidR="0026376A" w:rsidRDefault="0026376A" w:rsidP="0026376A">
            <w:pPr>
              <w:jc w:val="both"/>
            </w:pPr>
            <w:r>
              <w:t>- Groupes techniques sous dimensionnés pour</w:t>
            </w:r>
            <w:r>
              <w:t xml:space="preserve"> </w:t>
            </w:r>
            <w:r>
              <w:t>assurer les projets internationaux, nationaux e</w:t>
            </w:r>
            <w:r>
              <w:t xml:space="preserve"> </w:t>
            </w:r>
          </w:p>
          <w:p w:rsidR="0026376A" w:rsidRDefault="0026376A" w:rsidP="0026376A">
            <w:pPr>
              <w:jc w:val="both"/>
            </w:pPr>
            <w:r>
              <w:t>locaux</w:t>
            </w:r>
          </w:p>
          <w:p w:rsidR="0026376A" w:rsidRDefault="0026376A" w:rsidP="0026376A">
            <w:pPr>
              <w:jc w:val="both"/>
            </w:pPr>
            <w:r>
              <w:t>- Faible mobilité</w:t>
            </w:r>
          </w:p>
          <w:p w:rsidR="0026376A" w:rsidRDefault="0026376A" w:rsidP="0026376A">
            <w:pPr>
              <w:jc w:val="both"/>
            </w:pPr>
            <w:r>
              <w:t>• Enseignement</w:t>
            </w:r>
          </w:p>
          <w:p w:rsidR="0026376A" w:rsidRDefault="0026376A" w:rsidP="0026376A">
            <w:pPr>
              <w:jc w:val="both"/>
            </w:pPr>
            <w:r>
              <w:t>- Faible part d’enseignants chercheurs</w:t>
            </w:r>
          </w:p>
          <w:p w:rsidR="0026376A" w:rsidRDefault="0026376A" w:rsidP="0026376A">
            <w:pPr>
              <w:jc w:val="both"/>
            </w:pPr>
            <w:r>
              <w:t>- Faible nombre de thèses</w:t>
            </w:r>
          </w:p>
          <w:p w:rsidR="0026376A" w:rsidRDefault="0026376A" w:rsidP="0026376A">
            <w:pPr>
              <w:jc w:val="both"/>
            </w:pPr>
            <w:r>
              <w:t>-Très faible nombre d’HDR sur les accélérateurs.</w:t>
            </w:r>
          </w:p>
          <w:p w:rsidR="0026376A" w:rsidRDefault="0026376A" w:rsidP="0026376A">
            <w:pPr>
              <w:jc w:val="both"/>
            </w:pPr>
            <w:r>
              <w:t>- Peu de plateformes de tests permettant</w:t>
            </w:r>
          </w:p>
          <w:p w:rsidR="0026376A" w:rsidRDefault="0026376A" w:rsidP="0026376A">
            <w:pPr>
              <w:jc w:val="both"/>
            </w:pPr>
            <w:r>
              <w:t>d’accueillir des étudiants</w:t>
            </w:r>
          </w:p>
          <w:p w:rsidR="0026376A" w:rsidRDefault="0026376A" w:rsidP="0026376A">
            <w:pPr>
              <w:jc w:val="both"/>
            </w:pPr>
            <w:r>
              <w:t>• Exploitation</w:t>
            </w:r>
          </w:p>
          <w:p w:rsidR="0026376A" w:rsidRDefault="0026376A" w:rsidP="0026376A">
            <w:pPr>
              <w:jc w:val="both"/>
            </w:pPr>
            <w:r>
              <w:t>- A part quelques plateformes récentes les autres</w:t>
            </w:r>
          </w:p>
          <w:p w:rsidR="0026376A" w:rsidRDefault="0026376A" w:rsidP="0026376A">
            <w:pPr>
              <w:jc w:val="both"/>
            </w:pPr>
            <w:r>
              <w:t>moyens sont disséminés et peu ouvertes et</w:t>
            </w:r>
          </w:p>
          <w:p w:rsidR="0026376A" w:rsidRDefault="0026376A" w:rsidP="0026376A">
            <w:pPr>
              <w:jc w:val="both"/>
            </w:pPr>
            <w:r>
              <w:t>adaptées aux utilisateurs extérieurs</w:t>
            </w:r>
          </w:p>
          <w:p w:rsidR="0026376A" w:rsidRDefault="0026376A" w:rsidP="0026376A">
            <w:pPr>
              <w:jc w:val="both"/>
            </w:pPr>
            <w:r>
              <w:t>- Méconnaissance et sous exploitation des</w:t>
            </w:r>
          </w:p>
          <w:p w:rsidR="0026376A" w:rsidRDefault="0026376A" w:rsidP="0026376A">
            <w:pPr>
              <w:jc w:val="both"/>
            </w:pPr>
            <w:r>
              <w:t>moyens disponibles chez les industriels.</w:t>
            </w:r>
          </w:p>
        </w:tc>
      </w:tr>
      <w:tr w:rsidR="0026376A" w:rsidTr="0026376A">
        <w:tc>
          <w:tcPr>
            <w:tcW w:w="4531" w:type="dxa"/>
          </w:tcPr>
          <w:p w:rsidR="0026376A" w:rsidRPr="0026376A" w:rsidRDefault="0026376A" w:rsidP="00E54020">
            <w:pPr>
              <w:jc w:val="both"/>
              <w:rPr>
                <w:b/>
              </w:rPr>
            </w:pPr>
            <w:r w:rsidRPr="0026376A">
              <w:rPr>
                <w:b/>
              </w:rPr>
              <w:t>Opportunités :</w:t>
            </w:r>
          </w:p>
          <w:p w:rsidR="0026376A" w:rsidRDefault="0026376A" w:rsidP="0026376A">
            <w:pPr>
              <w:jc w:val="both"/>
            </w:pPr>
            <w:r>
              <w:t>• Projets internationaux, nationaux et locaux</w:t>
            </w:r>
          </w:p>
          <w:p w:rsidR="0026376A" w:rsidRDefault="0026376A" w:rsidP="0026376A">
            <w:pPr>
              <w:jc w:val="both"/>
            </w:pPr>
            <w:r>
              <w:t xml:space="preserve">- Contribution </w:t>
            </w:r>
            <w:r>
              <w:t xml:space="preserve">majeure dans plusieurs nouveaux </w:t>
            </w:r>
            <w:r>
              <w:t>projets globaux et réseaux européens (HL-LHC,</w:t>
            </w:r>
            <w:r>
              <w:t xml:space="preserve"> </w:t>
            </w:r>
            <w:r>
              <w:t xml:space="preserve">EUCARD2, </w:t>
            </w:r>
            <w:proofErr w:type="spellStart"/>
            <w:r>
              <w:t>EuroCircol</w:t>
            </w:r>
            <w:proofErr w:type="spellEnd"/>
            <w:r>
              <w:t xml:space="preserve">, </w:t>
            </w:r>
            <w:proofErr w:type="spellStart"/>
            <w:r>
              <w:t>EuPRAXIA</w:t>
            </w:r>
            <w:proofErr w:type="spellEnd"/>
            <w:r>
              <w:t>, ARIES,</w:t>
            </w:r>
            <w:r>
              <w:t xml:space="preserve"> </w:t>
            </w:r>
            <w:r>
              <w:t>AMICI…)</w:t>
            </w:r>
            <w:r>
              <w:t xml:space="preserve"> </w:t>
            </w:r>
            <w:r>
              <w:t>et plateformes locales en construction</w:t>
            </w:r>
          </w:p>
          <w:p w:rsidR="0026376A" w:rsidRPr="0026376A" w:rsidRDefault="0026376A" w:rsidP="0026376A">
            <w:pPr>
              <w:jc w:val="both"/>
            </w:pPr>
            <w:r>
              <w:lastRenderedPageBreak/>
              <w:t>- Liens forts avec les grands labos au niveau</w:t>
            </w:r>
            <w:r>
              <w:t xml:space="preserve"> </w:t>
            </w:r>
            <w:r w:rsidRPr="0026376A">
              <w:t xml:space="preserve">international (CERN, DESY, KEK, </w:t>
            </w:r>
            <w:proofErr w:type="spellStart"/>
            <w:r w:rsidRPr="0026376A">
              <w:t>Fermilab</w:t>
            </w:r>
            <w:proofErr w:type="spellEnd"/>
            <w:r w:rsidRPr="0026376A">
              <w:t>,</w:t>
            </w:r>
            <w:r>
              <w:t xml:space="preserve"> </w:t>
            </w:r>
            <w:r w:rsidRPr="0026376A">
              <w:t>SLAC, IHEP….)</w:t>
            </w:r>
          </w:p>
          <w:p w:rsidR="0026376A" w:rsidRDefault="0026376A" w:rsidP="0026376A">
            <w:pPr>
              <w:jc w:val="both"/>
            </w:pPr>
            <w:r>
              <w:t>- Développement de projets transverses dans le</w:t>
            </w:r>
            <w:r>
              <w:t xml:space="preserve"> </w:t>
            </w:r>
            <w:r>
              <w:t>domaine de l’énergie et la santé</w:t>
            </w:r>
          </w:p>
          <w:p w:rsidR="0026376A" w:rsidRDefault="0026376A" w:rsidP="0026376A">
            <w:pPr>
              <w:jc w:val="both"/>
            </w:pPr>
            <w:r>
              <w:t>- Renfoncer les liens avec les industriels</w:t>
            </w:r>
          </w:p>
          <w:p w:rsidR="0026376A" w:rsidRDefault="0026376A" w:rsidP="0026376A">
            <w:pPr>
              <w:jc w:val="both"/>
            </w:pPr>
            <w:r>
              <w:t>• P2I pourrait jouer un rôle majeur</w:t>
            </w:r>
            <w:r>
              <w:t xml:space="preserve"> </w:t>
            </w:r>
            <w:r>
              <w:t>pour</w:t>
            </w:r>
            <w:r>
              <w:t xml:space="preserve"> </w:t>
            </w:r>
            <w:r>
              <w:t>renforcer les collaborations existantes, la</w:t>
            </w:r>
            <w:r>
              <w:t xml:space="preserve"> </w:t>
            </w:r>
            <w:r>
              <w:t>mutualisation efficace des ressources et la</w:t>
            </w:r>
            <w:r>
              <w:t xml:space="preserve"> </w:t>
            </w:r>
            <w:r>
              <w:t>coopération avec les industriels.</w:t>
            </w:r>
          </w:p>
          <w:p w:rsidR="0026376A" w:rsidRDefault="0026376A" w:rsidP="0026376A">
            <w:pPr>
              <w:jc w:val="both"/>
            </w:pPr>
            <w:r>
              <w:t>• Favoriser des</w:t>
            </w:r>
            <w:r>
              <w:t xml:space="preserve"> projets ciblés pour des études </w:t>
            </w:r>
            <w:r>
              <w:t>de concept et des technologies de « haut</w:t>
            </w:r>
            <w:r>
              <w:t xml:space="preserve"> </w:t>
            </w:r>
            <w:r>
              <w:t>risque ».</w:t>
            </w:r>
          </w:p>
          <w:p w:rsidR="0026376A" w:rsidRDefault="0026376A" w:rsidP="0026376A">
            <w:pPr>
              <w:jc w:val="both"/>
            </w:pPr>
            <w:r>
              <w:t>• Très fort vivier d’étudiants brillants à</w:t>
            </w:r>
            <w:r>
              <w:t xml:space="preserve"> </w:t>
            </w:r>
            <w:r>
              <w:t>l’</w:t>
            </w:r>
            <w:proofErr w:type="spellStart"/>
            <w:r>
              <w:t>UPSay</w:t>
            </w:r>
            <w:proofErr w:type="spellEnd"/>
          </w:p>
        </w:tc>
        <w:tc>
          <w:tcPr>
            <w:tcW w:w="4531" w:type="dxa"/>
          </w:tcPr>
          <w:p w:rsidR="0026376A" w:rsidRPr="0026376A" w:rsidRDefault="0026376A" w:rsidP="00E54020">
            <w:pPr>
              <w:jc w:val="both"/>
              <w:rPr>
                <w:b/>
              </w:rPr>
            </w:pPr>
            <w:r w:rsidRPr="0026376A">
              <w:rPr>
                <w:b/>
              </w:rPr>
              <w:lastRenderedPageBreak/>
              <w:t>Menaces :</w:t>
            </w:r>
          </w:p>
          <w:p w:rsidR="0026376A" w:rsidRDefault="0026376A" w:rsidP="0026376A">
            <w:pPr>
              <w:jc w:val="both"/>
            </w:pPr>
            <w:r>
              <w:t>• Equipes Diminution des moyens humains et</w:t>
            </w:r>
            <w:r>
              <w:t xml:space="preserve"> </w:t>
            </w:r>
            <w:r>
              <w:t>perte de savoi</w:t>
            </w:r>
            <w:r>
              <w:t xml:space="preserve">r-faire technique sur certaines </w:t>
            </w:r>
            <w:r>
              <w:t>expertises</w:t>
            </w:r>
          </w:p>
          <w:p w:rsidR="0026376A" w:rsidRDefault="0026376A" w:rsidP="0026376A">
            <w:pPr>
              <w:jc w:val="both"/>
            </w:pPr>
            <w:r>
              <w:lastRenderedPageBreak/>
              <w:t>• Salaires peu</w:t>
            </w:r>
            <w:r>
              <w:t xml:space="preserve"> compétitifs par rapport à ceux </w:t>
            </w:r>
            <w:r>
              <w:t>de l’industrie, et des instituts de recherche et</w:t>
            </w:r>
            <w:r>
              <w:t xml:space="preserve"> </w:t>
            </w:r>
            <w:r>
              <w:t>labos étrangers</w:t>
            </w:r>
          </w:p>
          <w:p w:rsidR="0026376A" w:rsidRDefault="0026376A" w:rsidP="0026376A">
            <w:pPr>
              <w:jc w:val="both"/>
            </w:pPr>
            <w:r>
              <w:t>• Projets</w:t>
            </w:r>
          </w:p>
          <w:p w:rsidR="0026376A" w:rsidRDefault="0026376A" w:rsidP="0026376A">
            <w:pPr>
              <w:jc w:val="both"/>
            </w:pPr>
            <w:r>
              <w:t>- Inadéquation entre les offres à court terme</w:t>
            </w:r>
            <w:r>
              <w:t xml:space="preserve"> </w:t>
            </w:r>
            <w:r>
              <w:t>(3-5 ans) et la durée réelle des projets.</w:t>
            </w:r>
          </w:p>
          <w:p w:rsidR="0026376A" w:rsidRDefault="0026376A" w:rsidP="0026376A">
            <w:pPr>
              <w:jc w:val="both"/>
            </w:pPr>
            <w:r>
              <w:t>- Temps passé à répondre à des appels d’offre</w:t>
            </w:r>
            <w:r>
              <w:t xml:space="preserve"> </w:t>
            </w:r>
            <w:r>
              <w:t>pour des retours peu importants</w:t>
            </w:r>
          </w:p>
          <w:p w:rsidR="0026376A" w:rsidRDefault="0026376A" w:rsidP="0026376A">
            <w:pPr>
              <w:jc w:val="both"/>
            </w:pPr>
            <w:r>
              <w:t>- Gérer les c</w:t>
            </w:r>
            <w:r>
              <w:t xml:space="preserve">ontrats devient de plus en plus </w:t>
            </w:r>
            <w:r>
              <w:t>contraignant, complexe et donc chronophage,</w:t>
            </w:r>
            <w:r>
              <w:t xml:space="preserve"> </w:t>
            </w:r>
            <w:r>
              <w:t>demandant des ressources humaines de type</w:t>
            </w:r>
            <w:r>
              <w:t xml:space="preserve"> </w:t>
            </w:r>
            <w:r>
              <w:t>ingénieur projet</w:t>
            </w:r>
          </w:p>
        </w:tc>
      </w:tr>
    </w:tbl>
    <w:p w:rsidR="0026376A" w:rsidRDefault="0026376A" w:rsidP="00E54020">
      <w:pPr>
        <w:jc w:val="both"/>
      </w:pPr>
    </w:p>
    <w:p w:rsidR="0026376A" w:rsidRDefault="0026376A" w:rsidP="00E54020">
      <w:pPr>
        <w:jc w:val="both"/>
      </w:pPr>
    </w:p>
    <w:sectPr w:rsidR="002637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51" w:rsidRDefault="00B42351" w:rsidP="00B42351">
      <w:pPr>
        <w:spacing w:after="0" w:line="240" w:lineRule="auto"/>
      </w:pPr>
      <w:r>
        <w:separator/>
      </w:r>
    </w:p>
  </w:endnote>
  <w:endnote w:type="continuationSeparator" w:id="0">
    <w:p w:rsidR="00B42351" w:rsidRDefault="00B42351" w:rsidP="00B4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811334"/>
      <w:docPartObj>
        <w:docPartGallery w:val="Page Numbers (Bottom of Page)"/>
        <w:docPartUnique/>
      </w:docPartObj>
    </w:sdtPr>
    <w:sdtContent>
      <w:p w:rsidR="00B42351" w:rsidRDefault="00B4235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2351" w:rsidRDefault="00B423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51" w:rsidRDefault="00B42351" w:rsidP="00B42351">
      <w:pPr>
        <w:spacing w:after="0" w:line="240" w:lineRule="auto"/>
      </w:pPr>
      <w:r>
        <w:separator/>
      </w:r>
    </w:p>
  </w:footnote>
  <w:footnote w:type="continuationSeparator" w:id="0">
    <w:p w:rsidR="00B42351" w:rsidRDefault="00B42351" w:rsidP="00B42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AEB"/>
    <w:multiLevelType w:val="hybridMultilevel"/>
    <w:tmpl w:val="D3F4C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A05C5"/>
    <w:multiLevelType w:val="hybridMultilevel"/>
    <w:tmpl w:val="FE304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AD"/>
    <w:rsid w:val="0026376A"/>
    <w:rsid w:val="00376BAD"/>
    <w:rsid w:val="009B5C23"/>
    <w:rsid w:val="00B42351"/>
    <w:rsid w:val="00E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2DD62"/>
  <w15:chartTrackingRefBased/>
  <w15:docId w15:val="{E3EFABF1-8143-4110-87B4-919B978C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351"/>
  </w:style>
  <w:style w:type="paragraph" w:styleId="Pieddepage">
    <w:name w:val="footer"/>
    <w:basedOn w:val="Normal"/>
    <w:link w:val="PieddepageCar"/>
    <w:uiPriority w:val="99"/>
    <w:unhideWhenUsed/>
    <w:rsid w:val="00B4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351"/>
  </w:style>
  <w:style w:type="paragraph" w:styleId="Paragraphedeliste">
    <w:name w:val="List Paragraph"/>
    <w:basedOn w:val="Normal"/>
    <w:uiPriority w:val="34"/>
    <w:qFormat/>
    <w:rsid w:val="00B4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F195-5383-4DE4-B5E2-2CF5646A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1980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Perrot</dc:creator>
  <cp:keywords/>
  <dc:description/>
  <cp:lastModifiedBy>Luc Perrot</cp:lastModifiedBy>
  <cp:revision>3</cp:revision>
  <dcterms:created xsi:type="dcterms:W3CDTF">2017-05-22T06:25:00Z</dcterms:created>
  <dcterms:modified xsi:type="dcterms:W3CDTF">2017-05-22T06:50:00Z</dcterms:modified>
</cp:coreProperties>
</file>